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063229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0632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Name, MS City, 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name@gmail.com⚫ 555.555.5555⚫ linkedin.com/in/your-profile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Proven Vice President: Equity Electronic Trading, Fintech, Bitcoin, Blockchain, System Architecture/Infrastructure, DevOp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Self-directed and driven technology executive with comprehensive accomplishments leading financial trading architecture, software development, DevOps, Fintech, project management, and 100+ cross-functional teams to achieve goals. An innovative thinker with strong financial services, digital asset, and emerging technology acumen. Demonstrated success in developing and executing plans in complex, fast-paced, regulated industries. Recognized for implementing project management through analysis of the details to ensure project delivery, quality control, and legacy system transformation. Highly organized, creative problem-solver who excels at guiding teams through challenging projects. Expertise includes managing multimillion-dollar contracts, budgets, product development, and advising C-level executives.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High Performance Computing • C/C++ Financial Services FinTech Trade Compliance Project, People, Vendor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• Digital Asset, Electronic Trading Bitcoin, Cryptocurrency Mining Blockchain Enterprise Architecture ⚫ FIX Protocol ⚫ Financial Order Management, Market Data, Messaging. Colocation Infrastructure • Exchange Connectivity Vendor, Production Management Matching Engine Systems • Software Development Life Cycle SDLC Technology Integration Management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Fidelity Investments, Boston, MA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financial services corporation providing asset management services with $3T in revenue and 50,000 employees. Vice President, Fidelity Center for Applied Technology, 2018-Present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2001-Present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• Oversee 20+ software developers, hardware engineers, DevOps, and project managers creating an electronic digital asset exchange for bitcoin and equities, leveraging the blockchain.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Managed, designed, and executed collocated Al-enabled equity trading platform leveraging best-in-class networks, switching, servers, and FPGA hardware for decision processing, trade execution, and delivery of market data.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Enable institutional investors to get the best deal buying or selling bitcoin from over-the-counter (OTC) trading desks.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• Empower Fidelity Digital Assets to grow clients, such as hedge funds, family offices, investment advisors, and pension funds. Architect, Electronic Trading, Fidelity Capital Markets, 2012-2018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• Created software and infrastructure architecture for the high frequency, low latency trading platform proximity collocated with the major matching engines, dark pools, and public exchanges.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• Empowered brokers to react to market events faster than the competition, by a few milliseconds, with a goal of increasing the profitability of trades by developing proprietary algorithmic trading.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• Managed a $10M budget for building tech platforms, discretionary tools, systems, servers, software, and servic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Chief Architect, Colt Technology Services, Hong Kong, 2011-2012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• Transferred by Fidelity to their Colt subsidiary to lead the acquisition and integration of Market Prizm, a low-latency market data service providing feeds for equities, derivatives, commodities, and 50 foreign exchanges FX and liquidity venues.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• Managed 50 developers and engineers in building next-generation financial market data technology from sources such as stock exchange feeds, brokers dealer desks, or SEC regulatory filings.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• Incorporate pre-trade data such as bid/ask data necessary to price assets and post-trade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Director, Emerging Technology Research, Center for Applied Technology, 2008-201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such as the last trade price.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• Led the Center for Applied Technology, Fidelity's advanced R&amp;D technology group responsible for researching, reporting, and piloting emerging technology that can be leveraged thought the enterprise.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• Designed and implemented successful projects, including hardware-accelerated market data, mobile phone applications, and next-generation computer platform using cloud and virtualization.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• Drove innovative change across the enterprise by presenting solutions and white papers to senior management, divisional President's and the Chairman of the board.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Written and designed by area.com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Specialist, Technology Development, 2001-2008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• Senior software engineer and architect for Fidelity Investments' Active Trader Pro platform.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• Retained to develop direct trading components, streaming market data adapters, and overall technical architecture.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Technology Consultant, Boston, MA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• Managed technology projects for RemRoll Systems.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1990-2000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Financial, Iron Mountain, UPS, Reuters, ProCD, ValueQuest, CEG Systems, and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MS, Master of Science, Science Technology Leadership, Brown University, 2018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BA, Bachelor of Arts, Psychology, Boston University, 1988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PATENTS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Generating and Deploying Customized Software Containers, U.S. Patent 10,628,599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Peer-to-Peer Decentralized Distributed Data Structure and Token Exchange Apparatuses, Methods Systems, U.S. Patent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16,389,875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