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076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0769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Science Liaison adept at recognizing the clinical needs and values of key stakeholders. Provide physicians with unbiased and clinically relevant medical information. Advocate for the advancement in medical sciences that lead to improved clinical outcomes.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WORK HISTORY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Medical Science Liaison, 01/2017 - 10/2019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Syneos Health, Inc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Regional Medical Science Liaison responsible for the safe and effective use of company products and the dissemination of information and insights to both internal and external stakeholders.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delivering onsite physician and staff training, guidance in documentation and reporting, and techniques to lessen the risk of adverse events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customer and commercial needs for education during procedural patient cases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Respond to field based medical information inquires with appropriate and accurate materials and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 insights to internal stakeholders through proactive engagement with medical KOLs and customers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 with ongoing clinical trials or investigator initiated studies. Gather and review new study proposals and test their merits for clinical impact and organization strategy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in internal education on disease states, portfolio solutions, and alternative therapies for Commercial, Marketing, and R&amp;D teams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internal subject matter expert on cross functional teams and organizational projects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Science Liaison, 05/2015 - 12/2016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Syneos Health, Inc - Williamsburg, VA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developing relationships within the medical/scientific community, provide medical and/or scientific data about AngioDynamics products and research to healthcare professionals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 clinical, scientific, and technical expertise through review of scientific literature and attendance at medical conferences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 as the clinical lead in cross functional strategy meetings for the business unit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project management responsibilities for sponsored clinical trials, registries, and pre-clinical research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the clinical expert for the business unit and provide assistance in regulatory submissions, marketing materials, and sales force training Clinical Specialist, 11/2009 - 05/2015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Mentor Network - Fridley, MN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 clinical procedures in the operating room and radiology suites throughout the U.S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Educate staff and physicians on the operation and intended use of AngioDynamics medical devices and equipment (RFA, Habib, LC Beads, and Nanoknife)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 training programs for domestic and international sales force and customers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 newly hired Clinical Specialists and Sales Representatives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in "hands-on" physician training courses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Vascular Interventional Radiology Technologist, 2008 - 11/2009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Hca - Palm Harbor, FL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Prepped patients for procedures using aseptic technique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Radiologist through numerous procedures including G.I. and neurovascular cases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Embolizations, neuroembolizations (coil and liquid), chemotherapy embolizations, uterine fibroid embolizations, various stroke patient interventions, T.I.P.P.S., and A.A.A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Stent graphs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Filmed and archived exams.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patient charges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portable C-arm during operation room procedures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Interventional Radiology Coordinator, 07/2006 - 2008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Nebraska Medical Center - Kansas City, MO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technologists and support the training and development of new hires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Radiologists by obtaining information from referring physicians and pulling up previous films and dictations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Performed all clinical duties as an Interventional Radiology Technologist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Educated patients and family members about procedures and post procedure care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Interventional Radiology Technologist, 07/2004 - 07/2006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Emory University Hospital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Prepped patients for procedures using aseptic technique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Radiologist through numerous procedures including G.I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Embolizations, neuroembolizations (coil and liquid), chemotherapy embolizations, uterine fibroid embolizations, various stroke patient interventions, T.I.P.P.S., and A.A.A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Stent graphs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Filmed and archived exams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patient charges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portable C-arm during operating room procedures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Science: Medical Sciences, 2004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Emory University - Atlanta, GA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 Business Management, 1999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State University of New York - Stony Brook, NY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Associate of Applied Science: Fitness Specialist, 1997 Suffolk County Community College - Selden, NY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American Registry of Radiologic Technologists (R)(VI)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SKILLS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KOL engagement and development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Study review and design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Credibility within the medical community, especially in the field of IR and Productive in cross-functional teams and activities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Surg Onc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Knowledge of FDA guidance and regulations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customer service and case support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A.C.E award recipient 2015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