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3270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32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Hard working, goal oriented individual focused on increasing production and minimizing equipment downtime and costs.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Strong troubleshooting 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Critical thinking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Strong mechanical aptitude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Good communication 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Strong leadership abilities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OSHA regulations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Hand/power tools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Excellent time management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Venango College of Clarion University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  <w:rtl w:val="0"/>
        </w:rPr>
        <w:t xml:space="preserve">Oil City, Pa⚫ 2012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Associate of Applied Science: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Industrial Technology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Coursework in Industrial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Technology, Safety, Welding, Fluid and Pneumatic Mechanics, Programmable Logic Controllers, and Diesel Engines.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Select Energy, Inc - Well Testing Operator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Garden City, MI. 11/2012 - Current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Managed all phases of numerous well testing jobs including, rig up/downs flow back and well testing.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Perform all preventive maintenance, repairs, and overhaul of on site equipment.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Keep up to date inventory of tools and spare parts on hand, order replacements as necessary. Provide training, guidance and leadership to all personnel on site.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Perform all safety documentation including but not limited to; Job Safety Analysis, Behavior Based Observation cards, Near Hit documentation and Incident investigations.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AFFILIATIONS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