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246A0"/>
          <w:sz w:val="20"/>
          <w:szCs w:val="20"/>
        </w:rPr>
        <w:t xml:space="preserve">CHAIN VERITY</w:t>
      </w:r>
    </w:p>
    <w:p>
      <w:pPr>
        <w:spacing w:after="100"/>
      </w:pPr>
      <w:r>
        <w:rPr>
          <w:b/>
          <w:bCs/>
          <w:color w:val="0E1520"/>
          <w:sz w:val="52"/>
          <w:szCs w:val="52"/>
        </w:rPr>
        <w:t xml:space="preserve">MVP Build Plan</w:t>
      </w:r>
    </w:p>
    <w:p>
      <w:pPr>
        <w:spacing w:after="40"/>
      </w:pPr>
      <w:r>
        <w:rPr>
          <w:color w:val="5B6B87"/>
          <w:sz w:val="24"/>
          <w:szCs w:val="24"/>
        </w:rPr>
        <w:t xml:space="preserve">Turning the demo into a system a design partner can use on </w:t>
      </w:r>
      <w:r>
        <w:rPr>
          <w:b/>
          <w:bCs/>
          <w:color w:val="5B6B87"/>
          <w:sz w:val="24"/>
          <w:szCs w:val="24"/>
        </w:rPr>
        <w:t xml:space="preserve">their own supplier data</w:t>
      </w:r>
      <w:r>
        <w:rPr>
          <w:color w:val="5B6B87"/>
          <w:sz w:val="24"/>
          <w:szCs w:val="24"/>
        </w:rPr>
        <w:t xml:space="preserve">.</w:t>
      </w:r>
    </w:p>
    <w:p>
      <w:pPr>
        <w:pBdr>
          <w:bottom w:val="single" w:color="1246A0" w:sz="6" w:space="6"/>
        </w:pBdr>
        <w:spacing w:after="240"/>
      </w:pPr>
      <w:r>
        <w:rPr>
          <w:color w:val="5B6B87"/>
          <w:sz w:val="20"/>
          <w:szCs w:val="20"/>
        </w:rPr>
        <w:t xml:space="preserve">Plan written against commit </w:t>
      </w:r>
      <w:r>
        <w:rPr>
          <w:rFonts w:ascii="Consolas" w:cs="Consolas" w:eastAsia="Consolas" w:hAnsi="Consolas"/>
          <w:color w:val="5B6B87"/>
          <w:sz w:val="19"/>
          <w:szCs w:val="19"/>
        </w:rPr>
        <w:t xml:space="preserve">0fc9956</w:t>
      </w:r>
      <w:r>
        <w:rPr>
          <w:color w:val="5B6B87"/>
          <w:sz w:val="20"/>
          <w:szCs w:val="20"/>
        </w:rPr>
        <w:t xml:space="preserve">  ·  codebase now at </w:t>
      </w:r>
      <w:r>
        <w:rPr>
          <w:rFonts w:ascii="Consolas" w:cs="Consolas" w:eastAsia="Consolas" w:hAnsi="Consolas"/>
          <w:color w:val="5B6B87"/>
          <w:sz w:val="19"/>
          <w:szCs w:val="19"/>
        </w:rPr>
        <w:t xml:space="preserve">131b1b3</w:t>
      </w:r>
    </w:p>
    <w:p>
      <w:pPr>
        <w:pBdr>
          <w:top w:val="single" w:color="E3E8F1" w:sz="2" w:space="6"/>
          <w:bottom w:val="single" w:color="E3E8F1" w:sz="2" w:space="6"/>
          <w:left w:val="single" w:color="1246A0" w:sz="18" w:space="8"/>
          <w:right w:val="single" w:color="E3E8F1" w:sz="2" w:space="6"/>
        </w:pBdr>
        <w:shd w:fill="EEF3FB" w:val="clear"/>
        <w:spacing w:after="200" w:before="60"/>
      </w:pPr>
      <w:r>
        <w:rPr>
          <w:b/>
          <w:bCs/>
          <w:i w:val="false"/>
          <w:iCs w:val="false"/>
        </w:rPr>
        <w:t xml:space="preserve">Status note. </w:t>
      </w:r>
      <w:r>
        <w:rPr>
          <w:b w:val="false"/>
          <w:bCs w:val="false"/>
          <w:i w:val="false"/>
          <w:iCs w:val="false"/>
        </w:rPr>
        <w:t xml:space="preserve">Since this plan was written, the demo gained UI shells for several MVP surfaces — Import &amp; Resolve with a review queue, evidence-coverage reporting, unenriched supplier states, and alert-delivery previews. Those are presentation only: still fixture-driven, with no database, resolver, or delivery behind them. Every engineering item below stands unchanged.</w:t>
      </w:r>
    </w:p>
    <w:p>
      <w:pPr>
        <w:pStyle w:val="Heading1"/>
      </w:pPr>
      <w:r>
        <w:t xml:space="preserve">0. Where we actually are</w:t>
      </w:r>
    </w:p>
    <w:p>
      <w:pPr>
        <w:spacing w:after="140"/>
      </w:pPr>
      <w:r>
        <w:rPr>
          <w:b/>
          <w:bCs/>
          <w:i w:val="false"/>
          <w:iCs w:val="false"/>
        </w:rPr>
        <w:t xml:space="preserve">Real today: </w:t>
      </w:r>
      <w:r>
        <w:rPr>
          <w:b w:val="false"/>
          <w:bCs w:val="false"/>
          <w:i w:val="false"/>
          <w:iCs w:val="false"/>
        </w:rPr>
        <w:t xml:space="preserve">the UI, and the external-data enrichment layer — EDGAR, GLEIF, Companies House, World Bank, OpenSanctions, FRED, UN Comtrade, NASA EONET, USGS, NWS, GDELT — plus genuine AI features (chat, contract analysis, sub-tier discovery) on Claude.</w:t>
      </w:r>
    </w:p>
    <w:p>
      <w:pPr>
        <w:spacing w:after="140"/>
      </w:pPr>
      <w:r>
        <w:rPr>
          <w:b/>
          <w:bCs/>
          <w:i w:val="false"/>
          <w:iCs w:val="false"/>
        </w:rPr>
        <w:t xml:space="preserve">Not real today — the three load-bearing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1DF" w:sz="1"/>
              <w:left w:val="single" w:color="C9D1DF" w:sz="1"/>
              <w:bottom w:val="single" w:color="C9D1DF" w:sz="1"/>
              <w:right w:val="single" w:color="C9D1DF" w:sz="1"/>
            </w:tcBorders>
            <w:shd w:fill="E9EEF7" w:val="clear"/>
            <w:tcMar>
              <w:top w:type="dxa" w:w="90"/>
              <w:left w:type="dxa" w:w="130"/>
              <w:bottom w:type="dxa" w:w="90"/>
              <w:right w:type="dxa" w:w="130"/>
            </w:tcMar>
          </w:tcPr>
          <w:p>
            <w:r>
              <w:rPr>
                <w:b/>
                <w:bCs/>
                <w:color w:val="2B3A55"/>
                <w:sz w:val="18"/>
                <w:szCs w:val="18"/>
              </w:rPr>
              <w:t xml:space="preserve">Gap</w:t>
            </w:r>
          </w:p>
        </w:tc>
        <w:tc>
          <w:tcPr>
            <w:tcW w:type="dxa" w:w="7360"/>
            <w:tcBorders>
              <w:top w:val="single" w:color="C9D1DF" w:sz="1"/>
              <w:left w:val="single" w:color="C9D1DF" w:sz="1"/>
              <w:bottom w:val="single" w:color="C9D1DF" w:sz="1"/>
              <w:right w:val="single" w:color="C9D1DF" w:sz="1"/>
            </w:tcBorders>
            <w:shd w:fill="E9EEF7" w:val="clear"/>
            <w:tcMar>
              <w:top w:type="dxa" w:w="90"/>
              <w:left w:type="dxa" w:w="130"/>
              <w:bottom w:type="dxa" w:w="90"/>
              <w:right w:type="dxa" w:w="130"/>
            </w:tcMar>
          </w:tcPr>
          <w:p>
            <w:r>
              <w:rPr>
                <w:b/>
                <w:bCs/>
                <w:color w:val="2B3A55"/>
                <w:sz w:val="18"/>
                <w:szCs w:val="18"/>
              </w:rPr>
              <w:t xml:space="preserve">Evidence</w:t>
            </w:r>
          </w:p>
        </w:tc>
      </w:tr>
      <w:tr>
        <w:tc>
          <w:tcPr>
            <w:tcW w:type="dxa" w:w="20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bCs/>
                <w:i w:val="false"/>
                <w:iCs w:val="false"/>
                <w:color w:val="0E1520"/>
                <w:sz w:val="20"/>
                <w:szCs w:val="20"/>
              </w:rPr>
              <w:t xml:space="preserve">No database</w:t>
            </w:r>
          </w:p>
        </w:tc>
        <w:tc>
          <w:tcPr>
            <w:tcW w:type="dxa" w:w="736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All domain data is hardcoded in </w:t>
            </w:r>
            <w:r>
              <w:rPr>
                <w:rFonts w:ascii="Consolas" w:cs="Consolas" w:eastAsia="Consolas" w:hAnsi="Consolas"/>
                <w:b w:val="false"/>
                <w:bCs w:val="false"/>
                <w:i w:val="false"/>
                <w:iCs w:val="false"/>
                <w:color w:val="0E1520"/>
                <w:sz w:val="18"/>
                <w:szCs w:val="18"/>
              </w:rPr>
              <w:t xml:space="preserve">src/lib/data/*.ts</w:t>
            </w:r>
            <w:r>
              <w:rPr>
                <w:b w:val="false"/>
                <w:bCs w:val="false"/>
                <w:i w:val="false"/>
                <w:iCs w:val="false"/>
                <w:color w:val="0E1520"/>
                <w:sz w:val="20"/>
                <w:szCs w:val="20"/>
              </w:rPr>
              <w:t xml:space="preserve"> (~2,000 lines) for two fictional companies</w:t>
            </w:r>
          </w:p>
        </w:tc>
      </w:tr>
      <w:tr>
        <w:tc>
          <w:tcPr>
            <w:tcW w:type="dxa" w:w="200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bCs/>
                <w:i w:val="false"/>
                <w:iCs w:val="false"/>
                <w:color w:val="0E1520"/>
                <w:sz w:val="20"/>
                <w:szCs w:val="20"/>
              </w:rPr>
              <w:t xml:space="preserve">No real auth</w:t>
            </w:r>
          </w:p>
        </w:tc>
        <w:tc>
          <w:tcPr>
            <w:tcW w:type="dxa" w:w="736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One shared </w:t>
            </w:r>
            <w:r>
              <w:rPr>
                <w:rFonts w:ascii="Consolas" w:cs="Consolas" w:eastAsia="Consolas" w:hAnsi="Consolas"/>
                <w:b w:val="false"/>
                <w:bCs w:val="false"/>
                <w:i w:val="false"/>
                <w:iCs w:val="false"/>
                <w:color w:val="0E1520"/>
                <w:sz w:val="18"/>
                <w:szCs w:val="18"/>
              </w:rPr>
              <w:t xml:space="preserve">DEMO_PASSWORD</w:t>
            </w:r>
            <w:r>
              <w:rPr>
                <w:b w:val="false"/>
                <w:bCs w:val="false"/>
                <w:i w:val="false"/>
                <w:iCs w:val="false"/>
                <w:color w:val="0E1520"/>
                <w:sz w:val="20"/>
                <w:szCs w:val="20"/>
              </w:rPr>
              <w:t xml:space="preserve">; the cookie stores the password. Roles are a client-side dropdown, unenforced server-side</w:t>
            </w:r>
          </w:p>
        </w:tc>
      </w:tr>
      <w:tr>
        <w:tc>
          <w:tcPr>
            <w:tcW w:type="dxa" w:w="20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bCs/>
                <w:i w:val="false"/>
                <w:iCs w:val="false"/>
                <w:color w:val="0E1520"/>
                <w:sz w:val="20"/>
                <w:szCs w:val="20"/>
              </w:rPr>
              <w:t xml:space="preserve">No persistence</w:t>
            </w:r>
          </w:p>
        </w:tc>
        <w:tc>
          <w:tcPr>
            <w:tcW w:type="dxa" w:w="736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User changes live in </w:t>
            </w:r>
            <w:r>
              <w:rPr>
                <w:rFonts w:ascii="Consolas" w:cs="Consolas" w:eastAsia="Consolas" w:hAnsi="Consolas"/>
                <w:b w:val="false"/>
                <w:bCs w:val="false"/>
                <w:i w:val="false"/>
                <w:iCs w:val="false"/>
                <w:color w:val="0E1520"/>
                <w:sz w:val="18"/>
                <w:szCs w:val="18"/>
              </w:rPr>
              <w:t xml:space="preserve">localStorage</w:t>
            </w:r>
            <w:r>
              <w:rPr>
                <w:b w:val="false"/>
                <w:bCs w:val="false"/>
                <w:i w:val="false"/>
                <w:iCs w:val="false"/>
                <w:color w:val="0E1520"/>
                <w:sz w:val="20"/>
                <w:szCs w:val="20"/>
              </w:rPr>
              <w:t xml:space="preserve"> — per-browser, lost on clear</w:t>
            </w:r>
          </w:p>
        </w:tc>
      </w:tr>
    </w:tbl>
    <w:p>
      <w:pPr>
        <w:spacing w:after="150"/>
      </w:pPr>
      <w:r>
        <w:t xml:space="preserve"/>
      </w:r>
    </w:p>
    <w:p>
      <w:pPr>
        <w:spacing w:after="140"/>
      </w:pPr>
      <w:r>
        <w:rPr>
          <w:b w:val="false"/>
          <w:bCs w:val="false"/>
          <w:i w:val="false"/>
          <w:iCs w:val="false"/>
        </w:rPr>
        <w:t xml:space="preserve">Also simulated: ERP write-back, supplier portal, assessment responses.</w:t>
      </w:r>
    </w:p>
    <w:p>
      <w:pPr>
        <w:pStyle w:val="Heading2"/>
      </w:pPr>
      <w:r>
        <w:t xml:space="preserve">Two findings that shape everything below</w:t>
      </w:r>
    </w:p>
    <w:p>
      <w:pPr>
        <w:spacing w:after="140"/>
      </w:pPr>
      <w:r>
        <w:rPr>
          <w:b/>
          <w:bCs/>
          <w:i w:val="false"/>
          <w:iCs w:val="false"/>
        </w:rPr>
        <w:t xml:space="preserve">(a) The data seam is a single choke point — this is a big asset. </w:t>
      </w:r>
      <w:r>
        <w:rPr>
          <w:rFonts w:ascii="Consolas" w:cs="Consolas" w:eastAsia="Consolas" w:hAnsi="Consolas"/>
          <w:b w:val="false"/>
          <w:bCs w:val="false"/>
          <w:i w:val="false"/>
          <w:iCs w:val="false"/>
          <w:sz w:val="20"/>
          <w:szCs w:val="20"/>
        </w:rPr>
        <w:t xml:space="preserve">AppContext.tsx:154–165</w:t>
      </w:r>
      <w:r>
        <w:rPr>
          <w:b w:val="false"/>
          <w:bCs w:val="false"/>
          <w:i w:val="false"/>
          <w:iCs w:val="false"/>
        </w:rPr>
        <w:t xml:space="preserve"> is eleven lines of clientMode ternaries. Every view reads through useApp() / useSuppliers(). Swapping static data for a database means replacing that provider, not rewriting the views. The migration is far more contained than the line count suggests — and because the MVP ships a single client mode (§1.1), those eleven ternaries collapse to eleven plain org-scoped queries rather than being ported across as branches.</w:t>
      </w:r>
    </w:p>
    <w:p>
      <w:pPr>
        <w:spacing w:after="140"/>
      </w:pPr>
      <w:r>
        <w:rPr>
          <w:b/>
          <w:bCs/>
          <w:i w:val="false"/>
          <w:iCs w:val="false"/>
        </w:rPr>
        <w:t xml:space="preserve">(b) /api/lookup-supplier fabricates data and must be deleted, not reused. </w:t>
      </w:r>
      <w:r>
        <w:rPr>
          <w:b w:val="false"/>
          <w:bCs w:val="false"/>
          <w:i w:val="false"/>
          <w:iCs w:val="false"/>
        </w:rPr>
        <w:t xml:space="preserve">Its prompt asks Claude to “return realistic supplier profile data … or plausible estimates if not,” and it invents DUNS numbers, spend, and FRISK scores. Harmless in a demo where everything is fictional; in an MVP it silently manufactures plausible-looking financial data about real companies. </w:t>
      </w:r>
      <w:r>
        <w:rPr>
          <w:b/>
          <w:bCs/>
          <w:i w:val="false"/>
          <w:iCs w:val="false"/>
          <w:color w:val="B3261E"/>
        </w:rPr>
        <w:t xml:space="preserve">This is a correctness and trust hazard and is the single thing I would remove before any real customer sees the product.</w:t>
      </w:r>
      <w:r>
        <w:rPr>
          <w:b w:val="false"/>
          <w:bCs w:val="false"/>
          <w:i w:val="false"/>
          <w:iCs w:val="false"/>
        </w:rPr>
        <w:t xml:space="preserve"> It is not an entity resolver — see §4.</w:t>
      </w:r>
    </w:p>
    <w:p>
      <w:pPr>
        <w:spacing w:after="140"/>
      </w:pPr>
      <w:r>
        <w:rPr>
          <w:b w:val="false"/>
          <w:bCs w:val="false"/>
          <w:i w:val="false"/>
          <w:iCs w:val="false"/>
        </w:rPr>
        <w:t xml:space="preserve">Conversely, </w:t>
      </w:r>
      <w:r>
        <w:rPr>
          <w:rFonts w:ascii="Consolas" w:cs="Consolas" w:eastAsia="Consolas" w:hAnsi="Consolas"/>
          <w:b w:val="false"/>
          <w:bCs w:val="false"/>
          <w:i w:val="false"/>
          <w:iCs w:val="false"/>
          <w:sz w:val="20"/>
          <w:szCs w:val="20"/>
        </w:rPr>
        <w:t xml:space="preserve">/api/gleif</w:t>
      </w:r>
      <w:r>
        <w:rPr>
          <w:b w:val="false"/>
          <w:bCs w:val="false"/>
          <w:i w:val="false"/>
          <w:iCs w:val="false"/>
        </w:rPr>
        <w:t xml:space="preserve"> is the seed of a real resolver: it already does name → LEI fuzzy matching with a scoring cascade (fuzzycompletions → start-of-string preference → filter fallback). Keep and extend it.</w:t>
      </w:r>
    </w:p>
    <w:p>
      <w:pPr>
        <w:pStyle w:val="Heading1"/>
      </w:pPr>
      <w:r>
        <w:t xml:space="preserve">1. MVP scope — the thinnest viable 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1DF" w:sz="1"/>
              <w:left w:val="single" w:color="C9D1DF" w:sz="1"/>
              <w:bottom w:val="single" w:color="C9D1DF" w:sz="1"/>
              <w:right w:val="single" w:color="C9D1DF" w:sz="1"/>
            </w:tcBorders>
            <w:shd w:fill="E9EEF7" w:val="clear"/>
            <w:tcMar>
              <w:top w:type="dxa" w:w="90"/>
              <w:left w:type="dxa" w:w="130"/>
              <w:bottom w:type="dxa" w:w="90"/>
              <w:right w:type="dxa" w:w="130"/>
            </w:tcMar>
          </w:tcPr>
          <w:p>
            <w:r>
              <w:rPr>
                <w:b/>
                <w:bCs/>
                <w:color w:val="2B3A55"/>
                <w:sz w:val="18"/>
                <w:szCs w:val="18"/>
              </w:rPr>
              <w:t xml:space="preserve">In</w:t>
            </w:r>
          </w:p>
        </w:tc>
        <w:tc>
          <w:tcPr>
            <w:tcW w:type="dxa" w:w="4680"/>
            <w:tcBorders>
              <w:top w:val="single" w:color="C9D1DF" w:sz="1"/>
              <w:left w:val="single" w:color="C9D1DF" w:sz="1"/>
              <w:bottom w:val="single" w:color="C9D1DF" w:sz="1"/>
              <w:right w:val="single" w:color="C9D1DF" w:sz="1"/>
            </w:tcBorders>
            <w:shd w:fill="E9EEF7" w:val="clear"/>
            <w:tcMar>
              <w:top w:type="dxa" w:w="90"/>
              <w:left w:type="dxa" w:w="130"/>
              <w:bottom w:type="dxa" w:w="90"/>
              <w:right w:type="dxa" w:w="130"/>
            </w:tcMar>
          </w:tcPr>
          <w:p>
            <w:r>
              <w:rPr>
                <w:b/>
                <w:bCs/>
                <w:color w:val="2B3A55"/>
                <w:sz w:val="18"/>
                <w:szCs w:val="18"/>
              </w:rPr>
              <w:t xml:space="preserve">Out (defer)</w:t>
            </w:r>
          </w:p>
        </w:tc>
      </w:tr>
      <w:tr>
        <w:tc>
          <w:tcPr>
            <w:tcW w:type="dxa" w:w="468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bCs/>
                <w:i w:val="false"/>
                <w:iCs w:val="false"/>
                <w:color w:val="0E1520"/>
                <w:sz w:val="20"/>
                <w:szCs w:val="20"/>
              </w:rPr>
              <w:t xml:space="preserve">US client mode only</w:t>
            </w:r>
            <w:r>
              <w:rPr>
                <w:b w:val="false"/>
                <w:bCs w:val="false"/>
                <w:i w:val="false"/>
                <w:iCs w:val="false"/>
                <w:color w:val="0E1520"/>
                <w:sz w:val="20"/>
                <w:szCs w:val="20"/>
              </w:rPr>
              <w:t xml:space="preserve"> (§1.1)</w:t>
            </w:r>
          </w:p>
        </w:tc>
        <w:tc>
          <w:tcPr>
            <w:tcW w:type="dxa" w:w="468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European / Worcester Bosch mode</w:t>
            </w:r>
          </w:p>
        </w:tc>
      </w:tr>
      <w:tr>
        <w:tc>
          <w:tcPr>
            <w:tcW w:type="dxa" w:w="468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CSV supplier import</w:t>
            </w:r>
          </w:p>
        </w:tc>
        <w:tc>
          <w:tcPr>
            <w:tcW w:type="dxa" w:w="468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ERP connectors (SAP / Coupa)</w:t>
            </w:r>
          </w:p>
        </w:tc>
      </w:tr>
      <w:tr>
        <w:tc>
          <w:tcPr>
            <w:tcW w:type="dxa" w:w="468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Real auth, orgs, server-enforced roles</w:t>
            </w:r>
          </w:p>
        </w:tc>
        <w:tc>
          <w:tcPr>
            <w:tcW w:type="dxa" w:w="468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Supplier-facing portal</w:t>
            </w:r>
          </w:p>
        </w:tc>
      </w:tr>
      <w:tr>
        <w:tc>
          <w:tcPr>
            <w:tcW w:type="dxa" w:w="468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Entity resolution + human review queue</w:t>
            </w:r>
          </w:p>
        </w:tc>
        <w:tc>
          <w:tcPr>
            <w:tcW w:type="dxa" w:w="468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Assessments as a real product</w:t>
            </w:r>
          </w:p>
        </w:tc>
      </w:tr>
      <w:tr>
        <w:tc>
          <w:tcPr>
            <w:tcW w:type="dxa" w:w="468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Persisted enrichment + real risk scores</w:t>
            </w:r>
          </w:p>
        </w:tc>
        <w:tc>
          <w:tcPr>
            <w:tcW w:type="dxa" w:w="468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Disruption simulator polish</w:t>
            </w:r>
          </w:p>
        </w:tc>
      </w:tr>
      <w:tr>
        <w:tc>
          <w:tcPr>
            <w:tcW w:type="dxa" w:w="468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Real email / Slack alerts on live events</w:t>
            </w:r>
          </w:p>
        </w:tc>
        <w:tc>
          <w:tcPr>
            <w:tcW w:type="dxa" w:w="468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Multi-currency, white-label</w:t>
            </w:r>
          </w:p>
        </w:tc>
      </w:tr>
      <w:tr>
        <w:tc>
          <w:tcPr>
            <w:tcW w:type="dxa" w:w="468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AI features with persisted, reviewable output</w:t>
            </w:r>
          </w:p>
        </w:tc>
        <w:tc>
          <w:tcPr>
            <w:tcW w:type="dxa" w:w="468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Mobile app</w:t>
            </w:r>
          </w:p>
        </w:tc>
      </w:tr>
    </w:tbl>
    <w:p>
      <w:pPr>
        <w:spacing w:after="150"/>
      </w:pPr>
      <w:r>
        <w:t xml:space="preserve"/>
      </w:r>
    </w:p>
    <w:p>
      <w:pPr>
        <w:spacing w:after="140"/>
      </w:pPr>
      <w:r>
        <w:rPr>
          <w:b/>
          <w:bCs/>
          <w:i w:val="false"/>
          <w:iCs w:val="false"/>
        </w:rPr>
        <w:t xml:space="preserve">The MVP promise:</w:t>
      </w:r>
    </w:p>
    <w:p>
      <w:pPr>
        <w:pBdr>
          <w:left w:val="single" w:color="C3CFE4" w:sz="10" w:space="10"/>
        </w:pBdr>
        <w:spacing w:after="170" w:before="60"/>
        <w:ind w:left="340"/>
      </w:pPr>
      <w:r>
        <w:rPr>
          <w:b w:val="false"/>
          <w:bCs w:val="false"/>
          <w:i/>
          <w:iCs/>
        </w:rPr>
        <w:t xml:space="preserve">“Upload your supplier list. We resolve each company to its real legal entity, enrich it from public sources, score it, and alert you when something happens near it — and we tell you exactly how confident we are in every fact.”</w:t>
      </w:r>
    </w:p>
    <w:p>
      <w:pPr>
        <w:spacing w:after="140"/>
      </w:pPr>
      <w:r>
        <w:rPr>
          <w:b w:val="false"/>
          <w:bCs w:val="false"/>
          <w:i w:val="false"/>
          <w:iCs w:val="false"/>
        </w:rPr>
        <w:t xml:space="preserve">That last clause is the differentiator, and the provenance UI already built (Verified / Corroborated / AI-Inferred) is the right frame for it.</w:t>
      </w:r>
    </w:p>
    <w:p>
      <w:pPr>
        <w:pStyle w:val="Heading2"/>
      </w:pPr>
      <w:r>
        <w:t xml:space="preserve">1.1  Single client mode — US (decided)</w:t>
      </w:r>
    </w:p>
    <w:p>
      <w:pPr>
        <w:spacing w:after="140"/>
      </w:pPr>
      <w:r>
        <w:rPr>
          <w:b w:val="false"/>
          <w:bCs w:val="false"/>
          <w:i w:val="false"/>
          <w:iCs w:val="false"/>
        </w:rPr>
        <w:t xml:space="preserve">The demo ships two parallel universes: </w:t>
      </w:r>
      <w:r>
        <w:rPr>
          <w:b/>
          <w:bCs/>
          <w:i w:val="false"/>
          <w:iCs w:val="false"/>
        </w:rPr>
        <w:t xml:space="preserve">Meridian Industrial</w:t>
      </w:r>
      <w:r>
        <w:rPr>
          <w:b w:val="false"/>
          <w:bCs w:val="false"/>
          <w:i w:val="false"/>
          <w:iCs w:val="false"/>
        </w:rPr>
        <w:t xml:space="preserve"> (US, $, UFLPA) and </w:t>
      </w:r>
      <w:r>
        <w:rPr>
          <w:b/>
          <w:bCs/>
          <w:i w:val="false"/>
          <w:iCs w:val="false"/>
        </w:rPr>
        <w:t xml:space="preserve">Worcester Bosch</w:t>
      </w:r>
      <w:r>
        <w:rPr>
          <w:b w:val="false"/>
          <w:bCs w:val="false"/>
          <w:i w:val="false"/>
          <w:iCs w:val="false"/>
        </w:rPr>
        <w:t xml:space="preserve"> (European, £, CSDDD/EUDR), switched by </w:t>
      </w:r>
      <w:r>
        <w:rPr>
          <w:rFonts w:ascii="Consolas" w:cs="Consolas" w:eastAsia="Consolas" w:hAnsi="Consolas"/>
          <w:b w:val="false"/>
          <w:bCs w:val="false"/>
          <w:i w:val="false"/>
          <w:iCs w:val="false"/>
          <w:sz w:val="20"/>
          <w:szCs w:val="20"/>
        </w:rPr>
        <w:t xml:space="preserve">?client=wb</w:t>
      </w:r>
      <w:r>
        <w:rPr>
          <w:b w:val="false"/>
          <w:bCs w:val="false"/>
          <w:i w:val="false"/>
          <w:iCs w:val="false"/>
        </w:rPr>
        <w:t xml:space="preserve">. Every dataset, fixture, and compliance framework exists twice.</w:t>
      </w:r>
    </w:p>
    <w:p>
      <w:pPr>
        <w:spacing w:after="140"/>
      </w:pPr>
      <w:r>
        <w:rPr>
          <w:b/>
          <w:bCs/>
          <w:i w:val="false"/>
          <w:iCs w:val="false"/>
        </w:rPr>
        <w:t xml:space="preserve">The MVP ships the US path only.</w:t>
      </w:r>
      <w:r>
        <w:rPr>
          <w:b w:val="false"/>
          <w:bCs w:val="false"/>
          <w:i w:val="false"/>
          <w:iCs w:val="false"/>
        </w:rPr>
        <w:t xml:space="preserve"> This is already the demo's default — </w:t>
      </w:r>
      <w:r>
        <w:rPr>
          <w:rFonts w:ascii="Consolas" w:cs="Consolas" w:eastAsia="Consolas" w:hAnsi="Consolas"/>
          <w:b w:val="false"/>
          <w:bCs w:val="false"/>
          <w:i w:val="false"/>
          <w:iCs w:val="false"/>
          <w:sz w:val="20"/>
          <w:szCs w:val="20"/>
        </w:rPr>
        <w:t xml:space="preserve">?client=wb</w:t>
      </w:r>
      <w:r>
        <w:rPr>
          <w:b w:val="false"/>
          <w:bCs w:val="false"/>
          <w:i w:val="false"/>
          <w:iCs w:val="false"/>
        </w:rPr>
        <w:t xml:space="preserve"> opts into the European one — so it is also the lower-friction choice. What that fixes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1DF" w:sz="1"/>
              <w:left w:val="single" w:color="C9D1DF" w:sz="1"/>
              <w:bottom w:val="single" w:color="C9D1DF" w:sz="1"/>
              <w:right w:val="single" w:color="C9D1DF" w:sz="1"/>
            </w:tcBorders>
            <w:shd w:fill="E9EEF7" w:val="clear"/>
            <w:tcMar>
              <w:top w:type="dxa" w:w="90"/>
              <w:left w:type="dxa" w:w="130"/>
              <w:bottom w:type="dxa" w:w="90"/>
              <w:right w:type="dxa" w:w="130"/>
            </w:tcMar>
          </w:tcPr>
          <w:p>
            <w:r>
              <w:rPr>
                <w:b/>
                <w:bCs/>
                <w:color w:val="2B3A55"/>
                <w:sz w:val="18"/>
                <w:szCs w:val="18"/>
              </w:rPr>
              <w:t xml:space="preserve">Dimension</w:t>
            </w:r>
          </w:p>
        </w:tc>
        <w:tc>
          <w:tcPr>
            <w:tcW w:type="dxa" w:w="6760"/>
            <w:tcBorders>
              <w:top w:val="single" w:color="C9D1DF" w:sz="1"/>
              <w:left w:val="single" w:color="C9D1DF" w:sz="1"/>
              <w:bottom w:val="single" w:color="C9D1DF" w:sz="1"/>
              <w:right w:val="single" w:color="C9D1DF" w:sz="1"/>
            </w:tcBorders>
            <w:shd w:fill="E9EEF7" w:val="clear"/>
            <w:tcMar>
              <w:top w:type="dxa" w:w="90"/>
              <w:left w:type="dxa" w:w="130"/>
              <w:bottom w:type="dxa" w:w="90"/>
              <w:right w:type="dxa" w:w="130"/>
            </w:tcMar>
          </w:tcPr>
          <w:p>
            <w:r>
              <w:rPr>
                <w:b/>
                <w:bCs/>
                <w:color w:val="2B3A55"/>
                <w:sz w:val="18"/>
                <w:szCs w:val="18"/>
              </w:rPr>
              <w:t xml:space="preserve">MVP setting</w:t>
            </w:r>
          </w:p>
        </w:tc>
      </w:tr>
      <w:tr>
        <w:tc>
          <w:tcPr>
            <w:tcW w:type="dxa" w:w="26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Base currency</w:t>
            </w:r>
          </w:p>
        </w:tc>
        <w:tc>
          <w:tcPr>
            <w:tcW w:type="dxa" w:w="676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USD</w:t>
            </w:r>
          </w:p>
        </w:tc>
      </w:tr>
      <w:tr>
        <w:tc>
          <w:tcPr>
            <w:tcW w:type="dxa" w:w="260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Compliance narrative</w:t>
            </w:r>
          </w:p>
        </w:tc>
        <w:tc>
          <w:tcPr>
            <w:tcW w:type="dxa" w:w="676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UFLPA / CBP detention risk; CSDDD + EUDR out of scope</w:t>
            </w:r>
          </w:p>
        </w:tc>
      </w:tr>
      <w:tr>
        <w:tc>
          <w:tcPr>
            <w:tcW w:type="dxa" w:w="26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Resolver sources (§4)</w:t>
            </w:r>
          </w:p>
        </w:tc>
        <w:tc>
          <w:tcPr>
            <w:tcW w:type="dxa" w:w="676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bCs/>
                <w:i w:val="false"/>
                <w:iCs w:val="false"/>
                <w:color w:val="0E1520"/>
                <w:sz w:val="20"/>
                <w:szCs w:val="20"/>
              </w:rPr>
              <w:t xml:space="preserve">SEC EDGAR + GLEIF</w:t>
            </w:r>
            <w:r>
              <w:rPr>
                <w:b w:val="false"/>
                <w:bCs w:val="false"/>
                <w:i w:val="false"/>
                <w:iCs w:val="false"/>
                <w:color w:val="0E1520"/>
                <w:sz w:val="20"/>
                <w:szCs w:val="20"/>
              </w:rPr>
              <w:t xml:space="preserve">; Companies House out of the resolver path</w:t>
            </w:r>
          </w:p>
        </w:tc>
      </w:tr>
      <w:tr>
        <w:tc>
          <w:tcPr>
            <w:tcW w:type="dxa" w:w="260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Jurisdiction</w:t>
            </w:r>
          </w:p>
        </w:tc>
        <w:tc>
          <w:tcPr>
            <w:tcW w:type="dxa" w:w="676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US-registered entities are the resolution targets</w:t>
            </w:r>
          </w:p>
        </w:tc>
      </w:tr>
    </w:tbl>
    <w:p>
      <w:pPr>
        <w:spacing w:after="150"/>
      </w:pPr>
      <w:r>
        <w:t xml:space="preserve"/>
      </w:r>
    </w:p>
    <w:p>
      <w:pPr>
        <w:spacing w:after="140"/>
      </w:pPr>
      <w:r>
        <w:rPr>
          <w:b w:val="false"/>
          <w:bCs w:val="false"/>
          <w:i w:val="false"/>
          <w:iCs w:val="false"/>
        </w:rPr>
        <w:t xml:space="preserve">One nuance worth being explicit about: </w:t>
      </w:r>
      <w:r>
        <w:rPr>
          <w:b/>
          <w:bCs/>
          <w:i w:val="false"/>
          <w:iCs w:val="false"/>
        </w:rPr>
        <w:t xml:space="preserve">foreign sub-tier nodes still appear</w:t>
      </w:r>
      <w:r>
        <w:rPr>
          <w:b w:val="false"/>
          <w:bCs w:val="false"/>
          <w:i w:val="false"/>
          <w:iCs w:val="false"/>
        </w:rPr>
        <w:t xml:space="preserve"> — TSMC, ASML, Zhongke Sanhuan and the rest are your suppliers' suppliers, and the UFLPA narrative depends on them. They are displayed and reasoned about, but they are not resolution targets in the MVP: no attempt to verify them against a registry, so they carry </w:t>
      </w:r>
      <w:r>
        <w:rPr>
          <w:rFonts w:ascii="Consolas" w:cs="Consolas" w:eastAsia="Consolas" w:hAnsi="Consolas"/>
          <w:b w:val="false"/>
          <w:bCs w:val="false"/>
          <w:i w:val="false"/>
          <w:iCs w:val="false"/>
          <w:sz w:val="20"/>
          <w:szCs w:val="20"/>
        </w:rPr>
        <w:t xml:space="preserve">inferred</w:t>
      </w:r>
      <w:r>
        <w:rPr>
          <w:b w:val="false"/>
          <w:bCs w:val="false"/>
          <w:i w:val="false"/>
          <w:iCs w:val="false"/>
        </w:rPr>
        <w:t xml:space="preserve"> provenance unless they happen to hold an LEI.</w:t>
      </w:r>
    </w:p>
    <w:p>
      <w:pPr>
        <w:spacing w:after="140"/>
      </w:pPr>
      <w:r>
        <w:rPr>
          <w:b w:val="false"/>
          <w:bCs w:val="false"/>
          <w:i w:val="false"/>
          <w:iCs w:val="false"/>
        </w:rPr>
        <w:t xml:space="preserve">Why one mode: dual mode doubles seed fixtures, currency handling and compliance branching — and, most expensively, requires building and tuning </w:t>
      </w:r>
      <w:r>
        <w:rPr>
          <w:b/>
          <w:bCs/>
          <w:i w:val="false"/>
          <w:iCs w:val="false"/>
        </w:rPr>
        <w:t xml:space="preserve">two entity-resolution paths</w:t>
      </w:r>
      <w:r>
        <w:rPr>
          <w:b w:val="false"/>
          <w:bCs w:val="false"/>
          <w:i w:val="false"/>
          <w:iCs w:val="false"/>
        </w:rPr>
        <w:t xml:space="preserve"> (§4) before you know whether either works, for zero additional MVP learning.</w:t>
      </w:r>
    </w:p>
    <w:p>
      <w:pPr>
        <w:spacing w:after="140"/>
      </w:pPr>
      <w:r>
        <w:rPr>
          <w:b/>
          <w:bCs/>
          <w:i w:val="false"/>
          <w:iCs w:val="false"/>
        </w:rPr>
        <w:t xml:space="preserve">Worcester Bosch is demoted, not deleted.</w:t>
      </w:r>
      <w:r>
        <w:rPr>
          <w:b w:val="false"/>
          <w:bCs w:val="false"/>
          <w:i w:val="false"/>
          <w:iCs w:val="false"/>
        </w:rPr>
        <w:t xml:space="preserve"> Keep it as a seeded </w:t>
      </w:r>
      <w:r>
        <w:rPr>
          <w:rFonts w:ascii="Consolas" w:cs="Consolas" w:eastAsia="Consolas" w:hAnsi="Consolas"/>
          <w:b w:val="false"/>
          <w:bCs w:val="false"/>
          <w:i w:val="false"/>
          <w:iCs w:val="false"/>
          <w:sz w:val="20"/>
          <w:szCs w:val="20"/>
        </w:rPr>
        <w:t xml:space="preserve">is_demo</w:t>
      </w:r>
      <w:r>
        <w:rPr>
          <w:b w:val="false"/>
          <w:bCs w:val="false"/>
          <w:i w:val="false"/>
          <w:iCs w:val="false"/>
        </w:rPr>
        <w:t xml:space="preserve"> organization (§8) so sales can still show the European narrative — but remove it from the shipping path: no clientMode branching in production queries, one set of real fixtures, one resolver configuration. The </w:t>
      </w:r>
      <w:r>
        <w:rPr>
          <w:rFonts w:ascii="Consolas" w:cs="Consolas" w:eastAsia="Consolas" w:hAnsi="Consolas"/>
          <w:b w:val="false"/>
          <w:bCs w:val="false"/>
          <w:i w:val="false"/>
          <w:iCs w:val="false"/>
          <w:sz w:val="20"/>
          <w:szCs w:val="20"/>
        </w:rPr>
        <w:t xml:space="preserve">/api/companies-house</w:t>
      </w:r>
      <w:r>
        <w:rPr>
          <w:b w:val="false"/>
          <w:bCs w:val="false"/>
          <w:i w:val="false"/>
          <w:iCs w:val="false"/>
        </w:rPr>
        <w:t xml:space="preserve"> route stays for that demo seed; it simply isn't part of MVP resolution.</w:t>
      </w:r>
    </w:p>
    <w:p>
      <w:pPr>
        <w:pStyle w:val="Heading1"/>
      </w:pPr>
      <w:r>
        <w:t xml:space="preserve">2.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9D1DF" w:sz="1"/>
              <w:left w:val="single" w:color="C9D1DF" w:sz="1"/>
              <w:bottom w:val="single" w:color="C9D1DF" w:sz="1"/>
              <w:right w:val="single" w:color="C9D1DF" w:sz="1"/>
            </w:tcBorders>
            <w:shd w:fill="E9EEF7" w:val="clear"/>
            <w:tcMar>
              <w:top w:type="dxa" w:w="90"/>
              <w:left w:type="dxa" w:w="130"/>
              <w:bottom w:type="dxa" w:w="90"/>
              <w:right w:type="dxa" w:w="130"/>
            </w:tcMar>
          </w:tcPr>
          <w:p>
            <w:r>
              <w:rPr>
                <w:b/>
                <w:bCs/>
                <w:color w:val="2B3A55"/>
                <w:sz w:val="18"/>
                <w:szCs w:val="18"/>
              </w:rPr>
              <w:t xml:space="preserve">Decision</w:t>
            </w:r>
          </w:p>
        </w:tc>
        <w:tc>
          <w:tcPr>
            <w:tcW w:type="dxa" w:w="2400"/>
            <w:tcBorders>
              <w:top w:val="single" w:color="C9D1DF" w:sz="1"/>
              <w:left w:val="single" w:color="C9D1DF" w:sz="1"/>
              <w:bottom w:val="single" w:color="C9D1DF" w:sz="1"/>
              <w:right w:val="single" w:color="C9D1DF" w:sz="1"/>
            </w:tcBorders>
            <w:shd w:fill="E9EEF7" w:val="clear"/>
            <w:tcMar>
              <w:top w:type="dxa" w:w="90"/>
              <w:left w:type="dxa" w:w="130"/>
              <w:bottom w:type="dxa" w:w="90"/>
              <w:right w:type="dxa" w:w="130"/>
            </w:tcMar>
          </w:tcPr>
          <w:p>
            <w:r>
              <w:rPr>
                <w:b/>
                <w:bCs/>
                <w:color w:val="2B3A55"/>
                <w:sz w:val="18"/>
                <w:szCs w:val="18"/>
              </w:rPr>
              <w:t xml:space="preserve">Choice</w:t>
            </w:r>
          </w:p>
        </w:tc>
        <w:tc>
          <w:tcPr>
            <w:tcW w:type="dxa" w:w="5560"/>
            <w:tcBorders>
              <w:top w:val="single" w:color="C9D1DF" w:sz="1"/>
              <w:left w:val="single" w:color="C9D1DF" w:sz="1"/>
              <w:bottom w:val="single" w:color="C9D1DF" w:sz="1"/>
              <w:right w:val="single" w:color="C9D1DF" w:sz="1"/>
            </w:tcBorders>
            <w:shd w:fill="E9EEF7" w:val="clear"/>
            <w:tcMar>
              <w:top w:type="dxa" w:w="90"/>
              <w:left w:type="dxa" w:w="130"/>
              <w:bottom w:type="dxa" w:w="90"/>
              <w:right w:type="dxa" w:w="130"/>
            </w:tcMar>
          </w:tcPr>
          <w:p>
            <w:r>
              <w:rPr>
                <w:b/>
                <w:bCs/>
                <w:color w:val="2B3A55"/>
                <w:sz w:val="18"/>
                <w:szCs w:val="18"/>
              </w:rPr>
              <w:t xml:space="preserve">Why / trade-off</w:t>
            </w:r>
          </w:p>
        </w:tc>
      </w:tr>
      <w:tr>
        <w:tc>
          <w:tcPr>
            <w:tcW w:type="dxa" w:w="14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Database</w:t>
            </w:r>
          </w:p>
        </w:tc>
        <w:tc>
          <w:tcPr>
            <w:tcW w:type="dxa" w:w="24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bCs/>
                <w:i w:val="false"/>
                <w:iCs w:val="false"/>
                <w:color w:val="0E1520"/>
                <w:sz w:val="20"/>
                <w:szCs w:val="20"/>
              </w:rPr>
              <w:t xml:space="preserve">Postgres on Neon</w:t>
            </w:r>
          </w:p>
        </w:tc>
        <w:tc>
          <w:tcPr>
            <w:tcW w:type="dxa" w:w="556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Serverless-friendly branching, generous free tier, pg_trgm for fuzzy matching (needed in §4). Supabase is the alternative if you want RLS + storage + auth bundled</w:t>
            </w:r>
          </w:p>
        </w:tc>
      </w:tr>
      <w:tr>
        <w:tc>
          <w:tcPr>
            <w:tcW w:type="dxa" w:w="140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ORM</w:t>
            </w:r>
          </w:p>
        </w:tc>
        <w:tc>
          <w:tcPr>
            <w:tcW w:type="dxa" w:w="240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bCs/>
                <w:i w:val="false"/>
                <w:iCs w:val="false"/>
                <w:color w:val="0E1520"/>
                <w:sz w:val="20"/>
                <w:szCs w:val="20"/>
              </w:rPr>
              <w:t xml:space="preserve">Drizzle</w:t>
            </w:r>
          </w:p>
        </w:tc>
        <w:tc>
          <w:tcPr>
            <w:tcW w:type="dxa" w:w="556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SQL-first, tiny cold-start (matters on Vercel), migrations are plain SQL. Prisma is heavier in serverless</w:t>
            </w:r>
          </w:p>
        </w:tc>
      </w:tr>
      <w:tr>
        <w:tc>
          <w:tcPr>
            <w:tcW w:type="dxa" w:w="14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Auth</w:t>
            </w:r>
          </w:p>
        </w:tc>
        <w:tc>
          <w:tcPr>
            <w:tcW w:type="dxa" w:w="24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bCs/>
                <w:i w:val="false"/>
                <w:iCs w:val="false"/>
                <w:color w:val="0E1520"/>
                <w:sz w:val="20"/>
                <w:szCs w:val="20"/>
              </w:rPr>
              <w:t xml:space="preserve">Clerk</w:t>
            </w:r>
            <w:r>
              <w:rPr>
                <w:b w:val="false"/>
                <w:bCs w:val="false"/>
                <w:i w:val="false"/>
                <w:iCs w:val="false"/>
                <w:color w:val="0E1520"/>
                <w:sz w:val="20"/>
                <w:szCs w:val="20"/>
              </w:rPr>
              <w:t xml:space="preserve"> (recommended) or Auth.js v5</w:t>
            </w:r>
          </w:p>
        </w:tc>
        <w:tc>
          <w:tcPr>
            <w:tcW w:type="dxa" w:w="556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Clerk ships organizations, invites and RBAC — saves weeks of undifferentiated work. Costs money and is a vendor dependency. Auth.js is free but you build org/invite flows yourself</w:t>
            </w:r>
          </w:p>
        </w:tc>
      </w:tr>
      <w:tr>
        <w:tc>
          <w:tcPr>
            <w:tcW w:type="dxa" w:w="140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Tenancy</w:t>
            </w:r>
          </w:p>
        </w:tc>
        <w:tc>
          <w:tcPr>
            <w:tcW w:type="dxa" w:w="240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rFonts w:ascii="Consolas" w:cs="Consolas" w:eastAsia="Consolas" w:hAnsi="Consolas"/>
                <w:b w:val="false"/>
                <w:bCs w:val="false"/>
                <w:i w:val="false"/>
                <w:iCs w:val="false"/>
                <w:color w:val="0E1520"/>
                <w:sz w:val="18"/>
                <w:szCs w:val="18"/>
              </w:rPr>
              <w:t xml:space="preserve">org_id</w:t>
            </w:r>
            <w:r>
              <w:rPr>
                <w:b w:val="false"/>
                <w:bCs w:val="false"/>
                <w:i w:val="false"/>
                <w:iCs w:val="false"/>
                <w:color w:val="0E1520"/>
                <w:sz w:val="20"/>
                <w:szCs w:val="20"/>
              </w:rPr>
              <w:t xml:space="preserve"> on every customer-owned row, enforced in a scoped query layer</w:t>
            </w:r>
          </w:p>
        </w:tc>
        <w:tc>
          <w:tcPr>
            <w:tcW w:type="dxa" w:w="556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Postgres RLS is stronger but harder to test; a single db.forOrg(orgId) wrapper is enough at MVP if nothing bypasses it</w:t>
            </w:r>
          </w:p>
        </w:tc>
      </w:tr>
      <w:tr>
        <w:tc>
          <w:tcPr>
            <w:tcW w:type="dxa" w:w="14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Jobs</w:t>
            </w:r>
          </w:p>
        </w:tc>
        <w:tc>
          <w:tcPr>
            <w:tcW w:type="dxa" w:w="24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bCs/>
                <w:i w:val="false"/>
                <w:iCs w:val="false"/>
                <w:color w:val="0E1520"/>
                <w:sz w:val="20"/>
                <w:szCs w:val="20"/>
              </w:rPr>
              <w:t xml:space="preserve">Vercel Cron</w:t>
            </w:r>
          </w:p>
        </w:tc>
        <w:tc>
          <w:tcPr>
            <w:tcW w:type="dxa" w:w="556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Already on Vercel; no new infra. Move to Inngest/QStash when you need retries + fan-out</w:t>
            </w:r>
          </w:p>
        </w:tc>
      </w:tr>
      <w:tr>
        <w:tc>
          <w:tcPr>
            <w:tcW w:type="dxa" w:w="140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Hosting</w:t>
            </w:r>
          </w:p>
        </w:tc>
        <w:tc>
          <w:tcPr>
            <w:tcW w:type="dxa" w:w="240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Keep Next.js App Router on Vercel</w:t>
            </w:r>
          </w:p>
        </w:tc>
        <w:tc>
          <w:tcPr>
            <w:tcW w:type="dxa" w:w="556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No reason to change</w:t>
            </w:r>
          </w:p>
        </w:tc>
      </w:tr>
      <w:tr>
        <w:tc>
          <w:tcPr>
            <w:tcW w:type="dxa" w:w="14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Email / Slack</w:t>
            </w:r>
          </w:p>
        </w:tc>
        <w:tc>
          <w:tcPr>
            <w:tcW w:type="dxa" w:w="24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Resend + Slack incoming webhooks</w:t>
            </w:r>
          </w:p>
        </w:tc>
        <w:tc>
          <w:tcPr>
            <w:tcW w:type="dxa" w:w="556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Cheap, minimal setup</w:t>
            </w:r>
          </w:p>
        </w:tc>
      </w:tr>
    </w:tbl>
    <w:p>
      <w:pPr>
        <w:pStyle w:val="Heading1"/>
      </w:pPr>
      <w:r>
        <w:t xml:space="preserve">3. Schema</w:t>
      </w:r>
    </w:p>
    <w:p>
      <w:pPr>
        <w:spacing w:after="140"/>
      </w:pPr>
      <w:r>
        <w:rPr>
          <w:b w:val="false"/>
          <w:bCs w:val="false"/>
          <w:i w:val="false"/>
          <w:iCs w:val="false"/>
        </w:rPr>
        <w:t xml:space="preserve">Three distinct data classes, and keeping them separate is the most important structural call:</w:t>
      </w:r>
    </w:p>
    <w:p>
      <w:pPr>
        <w:pStyle w:val="ListParagraph"/>
        <w:numPr>
          <w:ilvl w:val="0"/>
          <w:numId w:val="2"/>
        </w:numPr>
        <w:spacing w:after="90"/>
      </w:pPr>
      <w:r>
        <w:rPr>
          <w:b/>
          <w:bCs/>
          <w:i w:val="false"/>
          <w:iCs w:val="false"/>
        </w:rPr>
        <w:t xml:space="preserve">Tenancy</w:t>
      </w:r>
      <w:r>
        <w:rPr>
          <w:b w:val="false"/>
          <w:bCs w:val="false"/>
          <w:i w:val="false"/>
          <w:iCs w:val="false"/>
        </w:rPr>
        <w:t xml:space="preserve"> — who can see what</w:t>
      </w:r>
    </w:p>
    <w:p>
      <w:pPr>
        <w:pStyle w:val="ListParagraph"/>
        <w:numPr>
          <w:ilvl w:val="0"/>
          <w:numId w:val="2"/>
        </w:numPr>
        <w:spacing w:after="90"/>
      </w:pPr>
      <w:r>
        <w:rPr>
          <w:b/>
          <w:bCs/>
          <w:i w:val="false"/>
          <w:iCs w:val="false"/>
        </w:rPr>
        <w:t xml:space="preserve">Customer-owned</w:t>
      </w:r>
      <w:r>
        <w:rPr>
          <w:b w:val="false"/>
          <w:bCs w:val="false"/>
          <w:i w:val="false"/>
          <w:iCs w:val="false"/>
        </w:rPr>
        <w:t xml:space="preserve"> — their suppliers, contracts, spend (per-org, private)</w:t>
      </w:r>
    </w:p>
    <w:p>
      <w:pPr>
        <w:pStyle w:val="ListParagraph"/>
        <w:numPr>
          <w:ilvl w:val="0"/>
          <w:numId w:val="2"/>
        </w:numPr>
        <w:spacing w:after="90"/>
      </w:pPr>
      <w:r>
        <w:rPr>
          <w:b/>
          <w:bCs/>
          <w:i w:val="false"/>
          <w:iCs w:val="false"/>
        </w:rPr>
        <w:t xml:space="preserve">Shared enrichment</w:t>
      </w:r>
      <w:r>
        <w:rPr>
          <w:b w:val="false"/>
          <w:bCs w:val="false"/>
          <w:i w:val="false"/>
          <w:iCs w:val="false"/>
        </w:rPr>
        <w:t xml:space="preserve"> — facts about real-world companies (global, cross-tenant)</w:t>
      </w:r>
    </w:p>
    <w:p>
      <w:pPr>
        <w:pBdr>
          <w:top w:val="single" w:color="E3E8F1" w:sz="2" w:space="6"/>
          <w:bottom w:val="single" w:color="E3E8F1" w:sz="2" w:space="6"/>
          <w:left w:val="single" w:color="1246A0" w:sz="18" w:space="8"/>
          <w:right w:val="single" w:color="E3E8F1" w:sz="2" w:space="6"/>
        </w:pBdr>
        <w:shd w:fill="EEF3FB" w:val="clear"/>
        <w:spacing w:after="200" w:before="60"/>
      </w:pPr>
      <w:r>
        <w:rPr>
          <w:b/>
          <w:bCs/>
          <w:i w:val="false"/>
          <w:iCs w:val="false"/>
        </w:rPr>
        <w:t xml:space="preserve">Key design call. </w:t>
      </w:r>
      <w:r>
        <w:rPr>
          <w:b w:val="false"/>
          <w:bCs w:val="false"/>
          <w:i w:val="false"/>
          <w:iCs w:val="false"/>
        </w:rPr>
        <w:t xml:space="preserve">EDGAR data for Honeywell is identical for every customer. Cache enrichment against a global entity registry, not per-tenant. This turns N customers × M suppliers of API calls into one fetch per entity, and makes trend history accumulate across the whole customer base.</w:t>
      </w:r>
    </w:p>
    <w:p>
      <w:pPr>
        <w:shd w:fill="F1F4FA" w:val="clear"/>
        <w:spacing w:after="0" w:before="40"/>
        <w:ind w:left="170"/>
      </w:pPr>
      <w:r>
        <w:rPr>
          <w:rFonts w:ascii="Consolas" w:cs="Consolas" w:eastAsia="Consolas" w:hAnsi="Consolas"/>
          <w:color w:val="23324A"/>
          <w:sz w:val="17"/>
          <w:szCs w:val="17"/>
        </w:rPr>
        <w:t xml:space="preserve">-- ── Tenancy ──────────────────────────────────────────────────────────</w:t>
      </w:r>
    </w:p>
    <w:p>
      <w:pPr>
        <w:shd w:fill="F1F4FA" w:val="clear"/>
        <w:spacing w:after="0" w:before="0"/>
        <w:ind w:left="170"/>
      </w:pPr>
      <w:r>
        <w:rPr>
          <w:rFonts w:ascii="Consolas" w:cs="Consolas" w:eastAsia="Consolas" w:hAnsi="Consolas"/>
          <w:color w:val="23324A"/>
          <w:sz w:val="17"/>
          <w:szCs w:val="17"/>
        </w:rPr>
        <w:t xml:space="preserve">organizations (id, name, slug, base_currency, is_demo bool, created_at)</w:t>
      </w:r>
    </w:p>
    <w:p>
      <w:pPr>
        <w:shd w:fill="F1F4FA" w:val="clear"/>
        <w:spacing w:after="0" w:before="0"/>
        <w:ind w:left="170"/>
      </w:pPr>
      <w:r>
        <w:rPr>
          <w:rFonts w:ascii="Consolas" w:cs="Consolas" w:eastAsia="Consolas" w:hAnsi="Consolas"/>
          <w:color w:val="23324A"/>
          <w:sz w:val="17"/>
          <w:szCs w:val="17"/>
        </w:rPr>
        <w:t xml:space="preserve">users         (id, email, name, created_at)        -- or delegate to Clerk</w:t>
      </w:r>
    </w:p>
    <w:p>
      <w:pPr>
        <w:shd w:fill="F1F4FA" w:val="clear"/>
        <w:spacing w:after="0" w:before="0"/>
        <w:ind w:left="170"/>
      </w:pPr>
      <w:r>
        <w:rPr>
          <w:rFonts w:ascii="Consolas" w:cs="Consolas" w:eastAsia="Consolas" w:hAnsi="Consolas"/>
          <w:color w:val="23324A"/>
          <w:sz w:val="17"/>
          <w:szCs w:val="17"/>
        </w:rPr>
        <w:t xml:space="preserve">memberships   (org_id, user_id, role, created_at)  -- cfo|procurement|analyst|admin</w:t>
      </w:r>
    </w:p>
    <w:p>
      <w:pPr>
        <w:shd w:fill="F1F4FA" w:val="clear"/>
        <w:spacing w:after="0" w:before="0"/>
        <w:ind w:left="170"/>
      </w:pPr>
      <w:r>
        <w:rPr>
          <w:rFonts w:ascii="Consolas" w:cs="Consolas" w:eastAsia="Consolas" w:hAnsi="Consolas"/>
          <w:color w:val="23324A"/>
          <w:sz w:val="17"/>
          <w:szCs w:val="17"/>
        </w:rPr>
        <w:t xml:space="preserve"> </w:t>
      </w:r>
    </w:p>
    <w:p>
      <w:pPr>
        <w:shd w:fill="F1F4FA" w:val="clear"/>
        <w:spacing w:after="0" w:before="0"/>
        <w:ind w:left="170"/>
      </w:pPr>
      <w:r>
        <w:rPr>
          <w:rFonts w:ascii="Consolas" w:cs="Consolas" w:eastAsia="Consolas" w:hAnsi="Consolas"/>
          <w:color w:val="23324A"/>
          <w:sz w:val="17"/>
          <w:szCs w:val="17"/>
        </w:rPr>
        <w:t xml:space="preserve">-- ── Customer-owned (org-scoped) ──────────────────────────────────────</w:t>
      </w:r>
    </w:p>
    <w:p>
      <w:pPr>
        <w:shd w:fill="F1F4FA" w:val="clear"/>
        <w:spacing w:after="0" w:before="0"/>
        <w:ind w:left="170"/>
      </w:pPr>
      <w:r>
        <w:rPr>
          <w:rFonts w:ascii="Consolas" w:cs="Consolas" w:eastAsia="Consolas" w:hAnsi="Consolas"/>
          <w:color w:val="23324A"/>
          <w:sz w:val="17"/>
          <w:szCs w:val="17"/>
        </w:rPr>
        <w:t xml:space="preserve">suppliers (</w:t>
      </w:r>
    </w:p>
    <w:p>
      <w:pPr>
        <w:shd w:fill="F1F4FA" w:val="clear"/>
        <w:spacing w:after="0" w:before="0"/>
        <w:ind w:left="170"/>
      </w:pPr>
      <w:r>
        <w:rPr>
          <w:rFonts w:ascii="Consolas" w:cs="Consolas" w:eastAsia="Consolas" w:hAnsi="Consolas"/>
          <w:color w:val="23324A"/>
          <w:sz w:val="17"/>
          <w:szCs w:val="17"/>
        </w:rPr>
        <w:t xml:space="preserve">  id, org_id, entity_id NULL,        -- FK → entities (may be unresolved)</w:t>
      </w:r>
    </w:p>
    <w:p>
      <w:pPr>
        <w:shd w:fill="F1F4FA" w:val="clear"/>
        <w:spacing w:after="0" w:before="0"/>
        <w:ind w:left="170"/>
      </w:pPr>
      <w:r>
        <w:rPr>
          <w:rFonts w:ascii="Consolas" w:cs="Consolas" w:eastAsia="Consolas" w:hAnsi="Consolas"/>
          <w:color w:val="23324A"/>
          <w:sz w:val="17"/>
          <w:szCs w:val="17"/>
        </w:rPr>
        <w:t xml:space="preserve">  name, legal_name, category, tier, region, country_code,</w:t>
      </w:r>
    </w:p>
    <w:p>
      <w:pPr>
        <w:shd w:fill="F1F4FA" w:val="clear"/>
        <w:spacing w:after="0" w:before="0"/>
        <w:ind w:left="170"/>
      </w:pPr>
      <w:r>
        <w:rPr>
          <w:rFonts w:ascii="Consolas" w:cs="Consolas" w:eastAsia="Consolas" w:hAnsi="Consolas"/>
          <w:color w:val="23324A"/>
          <w:sz w:val="17"/>
          <w:szCs w:val="17"/>
        </w:rPr>
        <w:t xml:space="preserve">  spend_annual, currency, status, source,  -- source: import|manual|erp</w:t>
      </w:r>
    </w:p>
    <w:p>
      <w:pPr>
        <w:shd w:fill="F1F4FA" w:val="clear"/>
        <w:spacing w:after="0" w:before="0"/>
        <w:ind w:left="170"/>
      </w:pPr>
      <w:r>
        <w:rPr>
          <w:rFonts w:ascii="Consolas" w:cs="Consolas" w:eastAsia="Consolas" w:hAnsi="Consolas"/>
          <w:color w:val="23324A"/>
          <w:sz w:val="17"/>
          <w:szCs w:val="17"/>
        </w:rPr>
        <w:t xml:space="preserve">  archived_at, created_at, updated_at</w:t>
      </w:r>
    </w:p>
    <w:p>
      <w:pPr>
        <w:shd w:fill="F1F4FA" w:val="clear"/>
        <w:spacing w:after="0" w:before="0"/>
        <w:ind w:left="170"/>
      </w:pPr>
      <w:r>
        <w:rPr>
          <w:rFonts w:ascii="Consolas" w:cs="Consolas" w:eastAsia="Consolas" w:hAnsi="Consolas"/>
          <w:color w:val="23324A"/>
          <w:sz w:val="17"/>
          <w:szCs w:val="17"/>
        </w:rPr>
        <w:t xml:space="preserve">)</w:t>
      </w:r>
    </w:p>
    <w:p>
      <w:pPr>
        <w:shd w:fill="F1F4FA" w:val="clear"/>
        <w:spacing w:after="0" w:before="0"/>
        <w:ind w:left="170"/>
      </w:pPr>
      <w:r>
        <w:rPr>
          <w:rFonts w:ascii="Consolas" w:cs="Consolas" w:eastAsia="Consolas" w:hAnsi="Consolas"/>
          <w:color w:val="23324A"/>
          <w:sz w:val="17"/>
          <w:szCs w:val="17"/>
        </w:rPr>
        <w:t xml:space="preserve">supplier_identifiers (</w:t>
      </w:r>
    </w:p>
    <w:p>
      <w:pPr>
        <w:shd w:fill="F1F4FA" w:val="clear"/>
        <w:spacing w:after="0" w:before="0"/>
        <w:ind w:left="170"/>
      </w:pPr>
      <w:r>
        <w:rPr>
          <w:rFonts w:ascii="Consolas" w:cs="Consolas" w:eastAsia="Consolas" w:hAnsi="Consolas"/>
          <w:color w:val="23324A"/>
          <w:sz w:val="17"/>
          <w:szCs w:val="17"/>
        </w:rPr>
        <w:t xml:space="preserve">  id, supplier_id, kind, value,      -- lei|duns|ticker|cik|company_number|vat</w:t>
      </w:r>
    </w:p>
    <w:p>
      <w:pPr>
        <w:shd w:fill="F1F4FA" w:val="clear"/>
        <w:spacing w:after="0" w:before="0"/>
        <w:ind w:left="170"/>
      </w:pPr>
      <w:r>
        <w:rPr>
          <w:rFonts w:ascii="Consolas" w:cs="Consolas" w:eastAsia="Consolas" w:hAnsi="Consolas"/>
          <w:color w:val="23324A"/>
          <w:sz w:val="17"/>
          <w:szCs w:val="17"/>
        </w:rPr>
        <w:t xml:space="preserve">  confidence numeric, provenance,    -- customer_provided|verified|corroborated|inferred</w:t>
      </w:r>
    </w:p>
    <w:p>
      <w:pPr>
        <w:shd w:fill="F1F4FA" w:val="clear"/>
        <w:spacing w:after="0" w:before="0"/>
        <w:ind w:left="170"/>
      </w:pPr>
      <w:r>
        <w:rPr>
          <w:rFonts w:ascii="Consolas" w:cs="Consolas" w:eastAsia="Consolas" w:hAnsi="Consolas"/>
          <w:color w:val="23324A"/>
          <w:sz w:val="17"/>
          <w:szCs w:val="17"/>
        </w:rPr>
        <w:t xml:space="preserve">  resolver_version, resolved_at</w:t>
      </w:r>
    </w:p>
    <w:p>
      <w:pPr>
        <w:shd w:fill="F1F4FA" w:val="clear"/>
        <w:spacing w:after="0" w:before="0"/>
        <w:ind w:left="170"/>
      </w:pPr>
      <w:r>
        <w:rPr>
          <w:rFonts w:ascii="Consolas" w:cs="Consolas" w:eastAsia="Consolas" w:hAnsi="Consolas"/>
          <w:color w:val="23324A"/>
          <w:sz w:val="17"/>
          <w:szCs w:val="17"/>
        </w:rPr>
        <w:t xml:space="preserve">)</w:t>
      </w:r>
    </w:p>
    <w:p>
      <w:pPr>
        <w:shd w:fill="F1F4FA" w:val="clear"/>
        <w:spacing w:after="0" w:before="0"/>
        <w:ind w:left="170"/>
      </w:pPr>
      <w:r>
        <w:rPr>
          <w:rFonts w:ascii="Consolas" w:cs="Consolas" w:eastAsia="Consolas" w:hAnsi="Consolas"/>
          <w:color w:val="23324A"/>
          <w:sz w:val="17"/>
          <w:szCs w:val="17"/>
        </w:rPr>
        <w:t xml:space="preserve">supplier_sites (id, supplier_id, name, city, country_code, lat, lon)</w:t>
      </w:r>
    </w:p>
    <w:p>
      <w:pPr>
        <w:shd w:fill="F1F4FA" w:val="clear"/>
        <w:spacing w:after="0" w:before="0"/>
        <w:ind w:left="170"/>
      </w:pPr>
      <w:r>
        <w:rPr>
          <w:rFonts w:ascii="Consolas" w:cs="Consolas" w:eastAsia="Consolas" w:hAnsi="Consolas"/>
          <w:color w:val="23324A"/>
          <w:sz w:val="17"/>
          <w:szCs w:val="17"/>
        </w:rPr>
        <w:t xml:space="preserve">contracts         (id, org_id, supplier_id, ...)</w:t>
      </w:r>
    </w:p>
    <w:p>
      <w:pPr>
        <w:shd w:fill="F1F4FA" w:val="clear"/>
        <w:spacing w:after="0" w:before="0"/>
        <w:ind w:left="170"/>
      </w:pPr>
      <w:r>
        <w:rPr>
          <w:rFonts w:ascii="Consolas" w:cs="Consolas" w:eastAsia="Consolas" w:hAnsi="Consolas"/>
          <w:color w:val="23324A"/>
          <w:sz w:val="17"/>
          <w:szCs w:val="17"/>
        </w:rPr>
        <w:t xml:space="preserve">recovery_profiles (id, org_id, supplier_id, tts, ttr, buffer_days, ...)</w:t>
      </w:r>
    </w:p>
    <w:p>
      <w:pPr>
        <w:shd w:fill="F1F4FA" w:val="clear"/>
        <w:spacing w:after="0" w:before="0"/>
        <w:ind w:left="170"/>
      </w:pPr>
      <w:r>
        <w:rPr>
          <w:rFonts w:ascii="Consolas" w:cs="Consolas" w:eastAsia="Consolas" w:hAnsi="Consolas"/>
          <w:color w:val="23324A"/>
          <w:sz w:val="17"/>
          <w:szCs w:val="17"/>
        </w:rPr>
        <w:t xml:space="preserve"> </w:t>
      </w:r>
    </w:p>
    <w:p>
      <w:pPr>
        <w:shd w:fill="F1F4FA" w:val="clear"/>
        <w:spacing w:after="0" w:before="0"/>
        <w:ind w:left="170"/>
      </w:pPr>
      <w:r>
        <w:rPr>
          <w:rFonts w:ascii="Consolas" w:cs="Consolas" w:eastAsia="Consolas" w:hAnsi="Consolas"/>
          <w:color w:val="23324A"/>
          <w:sz w:val="17"/>
          <w:szCs w:val="17"/>
        </w:rPr>
        <w:t xml:space="preserve">-- ── Shared enrichment (GLOBAL — no org_id) ───────────────────────────</w:t>
      </w:r>
    </w:p>
    <w:p>
      <w:pPr>
        <w:shd w:fill="F1F4FA" w:val="clear"/>
        <w:spacing w:after="0" w:before="0"/>
        <w:ind w:left="170"/>
      </w:pPr>
      <w:r>
        <w:rPr>
          <w:rFonts w:ascii="Consolas" w:cs="Consolas" w:eastAsia="Consolas" w:hAnsi="Consolas"/>
          <w:color w:val="23324A"/>
          <w:sz w:val="17"/>
          <w:szCs w:val="17"/>
        </w:rPr>
        <w:t xml:space="preserve">entities (</w:t>
      </w:r>
    </w:p>
    <w:p>
      <w:pPr>
        <w:shd w:fill="F1F4FA" w:val="clear"/>
        <w:spacing w:after="0" w:before="0"/>
        <w:ind w:left="170"/>
      </w:pPr>
      <w:r>
        <w:rPr>
          <w:rFonts w:ascii="Consolas" w:cs="Consolas" w:eastAsia="Consolas" w:hAnsi="Consolas"/>
          <w:color w:val="23324A"/>
          <w:sz w:val="17"/>
          <w:szCs w:val="17"/>
        </w:rPr>
        <w:t xml:space="preserve">  id, legal_name, country_code,</w:t>
      </w:r>
    </w:p>
    <w:p>
      <w:pPr>
        <w:shd w:fill="F1F4FA" w:val="clear"/>
        <w:spacing w:after="0" w:before="0"/>
        <w:ind w:left="170"/>
      </w:pPr>
      <w:r>
        <w:rPr>
          <w:rFonts w:ascii="Consolas" w:cs="Consolas" w:eastAsia="Consolas" w:hAnsi="Consolas"/>
          <w:color w:val="23324A"/>
          <w:sz w:val="17"/>
          <w:szCs w:val="17"/>
        </w:rPr>
        <w:t xml:space="preserve">  lei UNIQUE NULL, cik UNIQUE NULL, ticker NULL, duns NULL,</w:t>
      </w:r>
    </w:p>
    <w:p>
      <w:pPr>
        <w:shd w:fill="F1F4FA" w:val="clear"/>
        <w:spacing w:after="0" w:before="0"/>
        <w:ind w:left="170"/>
      </w:pPr>
      <w:r>
        <w:rPr>
          <w:rFonts w:ascii="Consolas" w:cs="Consolas" w:eastAsia="Consolas" w:hAnsi="Consolas"/>
          <w:color w:val="23324A"/>
          <w:sz w:val="17"/>
          <w:szCs w:val="17"/>
        </w:rPr>
        <w:t xml:space="preserve">  normalized_name,                   -- for pg_trgm index</w:t>
      </w:r>
    </w:p>
    <w:p>
      <w:pPr>
        <w:shd w:fill="F1F4FA" w:val="clear"/>
        <w:spacing w:after="0" w:before="0"/>
        <w:ind w:left="170"/>
      </w:pPr>
      <w:r>
        <w:rPr>
          <w:rFonts w:ascii="Consolas" w:cs="Consolas" w:eastAsia="Consolas" w:hAnsi="Consolas"/>
          <w:color w:val="23324A"/>
          <w:sz w:val="17"/>
          <w:szCs w:val="17"/>
        </w:rPr>
        <w:t xml:space="preserve">  created_at, updated_at</w:t>
      </w:r>
    </w:p>
    <w:p>
      <w:pPr>
        <w:shd w:fill="F1F4FA" w:val="clear"/>
        <w:spacing w:after="0" w:before="0"/>
        <w:ind w:left="170"/>
      </w:pPr>
      <w:r>
        <w:rPr>
          <w:rFonts w:ascii="Consolas" w:cs="Consolas" w:eastAsia="Consolas" w:hAnsi="Consolas"/>
          <w:color w:val="23324A"/>
          <w:sz w:val="17"/>
          <w:szCs w:val="17"/>
        </w:rPr>
        <w:t xml:space="preserve">)</w:t>
      </w:r>
    </w:p>
    <w:p>
      <w:pPr>
        <w:shd w:fill="F1F4FA" w:val="clear"/>
        <w:spacing w:after="0" w:before="0"/>
        <w:ind w:left="170"/>
      </w:pPr>
      <w:r>
        <w:rPr>
          <w:rFonts w:ascii="Consolas" w:cs="Consolas" w:eastAsia="Consolas" w:hAnsi="Consolas"/>
          <w:color w:val="23324A"/>
          <w:sz w:val="17"/>
          <w:szCs w:val="17"/>
        </w:rPr>
        <w:t xml:space="preserve">entity_snapshots (                   -- append-only</w:t>
      </w:r>
    </w:p>
    <w:p>
      <w:pPr>
        <w:shd w:fill="F1F4FA" w:val="clear"/>
        <w:spacing w:after="0" w:before="0"/>
        <w:ind w:left="170"/>
      </w:pPr>
      <w:r>
        <w:rPr>
          <w:rFonts w:ascii="Consolas" w:cs="Consolas" w:eastAsia="Consolas" w:hAnsi="Consolas"/>
          <w:color w:val="23324A"/>
          <w:sz w:val="17"/>
          <w:szCs w:val="17"/>
        </w:rPr>
        <w:t xml:space="preserve">  id, entity_id, source,             -- edgar|gleif|companies_house|worldbank|sanctions</w:t>
      </w:r>
    </w:p>
    <w:p>
      <w:pPr>
        <w:shd w:fill="F1F4FA" w:val="clear"/>
        <w:spacing w:after="0" w:before="0"/>
        <w:ind w:left="170"/>
      </w:pPr>
      <w:r>
        <w:rPr>
          <w:rFonts w:ascii="Consolas" w:cs="Consolas" w:eastAsia="Consolas" w:hAnsi="Consolas"/>
          <w:color w:val="23324A"/>
          <w:sz w:val="17"/>
          <w:szCs w:val="17"/>
        </w:rPr>
        <w:t xml:space="preserve">  payload jsonb, fetched_at, valid_until</w:t>
      </w:r>
    </w:p>
    <w:p>
      <w:pPr>
        <w:shd w:fill="F1F4FA" w:val="clear"/>
        <w:spacing w:after="0" w:before="0"/>
        <w:ind w:left="170"/>
      </w:pPr>
      <w:r>
        <w:rPr>
          <w:rFonts w:ascii="Consolas" w:cs="Consolas" w:eastAsia="Consolas" w:hAnsi="Consolas"/>
          <w:color w:val="23324A"/>
          <w:sz w:val="17"/>
          <w:szCs w:val="17"/>
        </w:rPr>
        <w:t xml:space="preserve">)</w:t>
      </w:r>
    </w:p>
    <w:p>
      <w:pPr>
        <w:shd w:fill="F1F4FA" w:val="clear"/>
        <w:spacing w:after="0" w:before="0"/>
        <w:ind w:left="170"/>
      </w:pPr>
      <w:r>
        <w:rPr>
          <w:rFonts w:ascii="Consolas" w:cs="Consolas" w:eastAsia="Consolas" w:hAnsi="Consolas"/>
          <w:color w:val="23324A"/>
          <w:sz w:val="17"/>
          <w:szCs w:val="17"/>
        </w:rPr>
        <w:t xml:space="preserve"> </w:t>
      </w:r>
    </w:p>
    <w:p>
      <w:pPr>
        <w:shd w:fill="F1F4FA" w:val="clear"/>
        <w:spacing w:after="0" w:before="0"/>
        <w:ind w:left="170"/>
      </w:pPr>
      <w:r>
        <w:rPr>
          <w:rFonts w:ascii="Consolas" w:cs="Consolas" w:eastAsia="Consolas" w:hAnsi="Consolas"/>
          <w:color w:val="23324A"/>
          <w:sz w:val="17"/>
          <w:szCs w:val="17"/>
        </w:rPr>
        <w:t xml:space="preserve">-- ── Events: global feed, per-tenant matches ──────────────────────────</w:t>
      </w:r>
    </w:p>
    <w:p>
      <w:pPr>
        <w:shd w:fill="F1F4FA" w:val="clear"/>
        <w:spacing w:after="0" w:before="0"/>
        <w:ind w:left="170"/>
      </w:pPr>
      <w:r>
        <w:rPr>
          <w:rFonts w:ascii="Consolas" w:cs="Consolas" w:eastAsia="Consolas" w:hAnsi="Consolas"/>
          <w:color w:val="23324A"/>
          <w:sz w:val="17"/>
          <w:szCs w:val="17"/>
        </w:rPr>
        <w:t xml:space="preserve">events (</w:t>
      </w:r>
    </w:p>
    <w:p>
      <w:pPr>
        <w:shd w:fill="F1F4FA" w:val="clear"/>
        <w:spacing w:after="0" w:before="0"/>
        <w:ind w:left="170"/>
      </w:pPr>
      <w:r>
        <w:rPr>
          <w:rFonts w:ascii="Consolas" w:cs="Consolas" w:eastAsia="Consolas" w:hAnsi="Consolas"/>
          <w:color w:val="23324A"/>
          <w:sz w:val="17"/>
          <w:szCs w:val="17"/>
        </w:rPr>
        <w:t xml:space="preserve">  id, source, external_id UNIQUE,    -- gdelt|usgs|nws|eonet</w:t>
      </w:r>
    </w:p>
    <w:p>
      <w:pPr>
        <w:shd w:fill="F1F4FA" w:val="clear"/>
        <w:spacing w:after="0" w:before="0"/>
        <w:ind w:left="170"/>
      </w:pPr>
      <w:r>
        <w:rPr>
          <w:rFonts w:ascii="Consolas" w:cs="Consolas" w:eastAsia="Consolas" w:hAnsi="Consolas"/>
          <w:color w:val="23324A"/>
          <w:sz w:val="17"/>
          <w:szCs w:val="17"/>
        </w:rPr>
        <w:t xml:space="preserve">  category, severity, title, detail, lat, lon, occurred_at, link, ingested_at</w:t>
      </w:r>
    </w:p>
    <w:p>
      <w:pPr>
        <w:shd w:fill="F1F4FA" w:val="clear"/>
        <w:spacing w:after="0" w:before="0"/>
        <w:ind w:left="170"/>
      </w:pPr>
      <w:r>
        <w:rPr>
          <w:rFonts w:ascii="Consolas" w:cs="Consolas" w:eastAsia="Consolas" w:hAnsi="Consolas"/>
          <w:color w:val="23324A"/>
          <w:sz w:val="17"/>
          <w:szCs w:val="17"/>
        </w:rPr>
        <w:t xml:space="preserve">)</w:t>
      </w:r>
    </w:p>
    <w:p>
      <w:pPr>
        <w:shd w:fill="F1F4FA" w:val="clear"/>
        <w:spacing w:after="0" w:before="0"/>
        <w:ind w:left="170"/>
      </w:pPr>
      <w:r>
        <w:rPr>
          <w:rFonts w:ascii="Consolas" w:cs="Consolas" w:eastAsia="Consolas" w:hAnsi="Consolas"/>
          <w:color w:val="23324A"/>
          <w:sz w:val="17"/>
          <w:szCs w:val="17"/>
        </w:rPr>
        <w:t xml:space="preserve">event_supplier_matches (</w:t>
      </w:r>
    </w:p>
    <w:p>
      <w:pPr>
        <w:shd w:fill="F1F4FA" w:val="clear"/>
        <w:spacing w:after="0" w:before="0"/>
        <w:ind w:left="170"/>
      </w:pPr>
      <w:r>
        <w:rPr>
          <w:rFonts w:ascii="Consolas" w:cs="Consolas" w:eastAsia="Consolas" w:hAnsi="Consolas"/>
          <w:color w:val="23324A"/>
          <w:sz w:val="17"/>
          <w:szCs w:val="17"/>
        </w:rPr>
        <w:t xml:space="preserve">  id, org_id, event_id, supplier_id,</w:t>
      </w:r>
    </w:p>
    <w:p>
      <w:pPr>
        <w:shd w:fill="F1F4FA" w:val="clear"/>
        <w:spacing w:after="0" w:before="0"/>
        <w:ind w:left="170"/>
      </w:pPr>
      <w:r>
        <w:rPr>
          <w:rFonts w:ascii="Consolas" w:cs="Consolas" w:eastAsia="Consolas" w:hAnsi="Consolas"/>
          <w:color w:val="23324A"/>
          <w:sz w:val="17"/>
          <w:szCs w:val="17"/>
        </w:rPr>
        <w:t xml:space="preserve">  distance_km, match_reason,         -- proximity|name_mention</w:t>
      </w:r>
    </w:p>
    <w:p>
      <w:pPr>
        <w:shd w:fill="F1F4FA" w:val="clear"/>
        <w:spacing w:after="0" w:before="0"/>
        <w:ind w:left="170"/>
      </w:pPr>
      <w:r>
        <w:rPr>
          <w:rFonts w:ascii="Consolas" w:cs="Consolas" w:eastAsia="Consolas" w:hAnsi="Consolas"/>
          <w:color w:val="23324A"/>
          <w:sz w:val="17"/>
          <w:szCs w:val="17"/>
        </w:rPr>
        <w:t xml:space="preserve">  confidence, notified_at, created_at</w:t>
      </w:r>
    </w:p>
    <w:p>
      <w:pPr>
        <w:shd w:fill="F1F4FA" w:val="clear"/>
        <w:spacing w:after="0" w:before="0"/>
        <w:ind w:left="170"/>
      </w:pPr>
      <w:r>
        <w:rPr>
          <w:rFonts w:ascii="Consolas" w:cs="Consolas" w:eastAsia="Consolas" w:hAnsi="Consolas"/>
          <w:color w:val="23324A"/>
          <w:sz w:val="17"/>
          <w:szCs w:val="17"/>
        </w:rPr>
        <w:t xml:space="preserve">)</w:t>
      </w:r>
    </w:p>
    <w:p>
      <w:pPr>
        <w:shd w:fill="F1F4FA" w:val="clear"/>
        <w:spacing w:after="0" w:before="0"/>
        <w:ind w:left="170"/>
      </w:pPr>
      <w:r>
        <w:rPr>
          <w:rFonts w:ascii="Consolas" w:cs="Consolas" w:eastAsia="Consolas" w:hAnsi="Consolas"/>
          <w:color w:val="23324A"/>
          <w:sz w:val="17"/>
          <w:szCs w:val="17"/>
        </w:rPr>
        <w:t xml:space="preserve"> </w:t>
      </w:r>
    </w:p>
    <w:p>
      <w:pPr>
        <w:shd w:fill="F1F4FA" w:val="clear"/>
        <w:spacing w:after="0" w:before="0"/>
        <w:ind w:left="170"/>
      </w:pPr>
      <w:r>
        <w:rPr>
          <w:rFonts w:ascii="Consolas" w:cs="Consolas" w:eastAsia="Consolas" w:hAnsi="Consolas"/>
          <w:color w:val="23324A"/>
          <w:sz w:val="17"/>
          <w:szCs w:val="17"/>
        </w:rPr>
        <w:t xml:space="preserve">-- ── Scores: append-only so trends are real, not synthetic ────────────</w:t>
      </w:r>
    </w:p>
    <w:p>
      <w:pPr>
        <w:shd w:fill="F1F4FA" w:val="clear"/>
        <w:spacing w:after="0" w:before="0"/>
        <w:ind w:left="170"/>
      </w:pPr>
      <w:r>
        <w:rPr>
          <w:rFonts w:ascii="Consolas" w:cs="Consolas" w:eastAsia="Consolas" w:hAnsi="Consolas"/>
          <w:color w:val="23324A"/>
          <w:sz w:val="17"/>
          <w:szCs w:val="17"/>
        </w:rPr>
        <w:t xml:space="preserve">risk_scores (</w:t>
      </w:r>
    </w:p>
    <w:p>
      <w:pPr>
        <w:shd w:fill="F1F4FA" w:val="clear"/>
        <w:spacing w:after="0" w:before="0"/>
        <w:ind w:left="170"/>
      </w:pPr>
      <w:r>
        <w:rPr>
          <w:rFonts w:ascii="Consolas" w:cs="Consolas" w:eastAsia="Consolas" w:hAnsi="Consolas"/>
          <w:color w:val="23324A"/>
          <w:sz w:val="17"/>
          <w:szCs w:val="17"/>
        </w:rPr>
        <w:t xml:space="preserve">  id, org_id, supplier_id, score, band,</w:t>
      </w:r>
    </w:p>
    <w:p>
      <w:pPr>
        <w:shd w:fill="F1F4FA" w:val="clear"/>
        <w:spacing w:after="0" w:before="0"/>
        <w:ind w:left="170"/>
      </w:pPr>
      <w:r>
        <w:rPr>
          <w:rFonts w:ascii="Consolas" w:cs="Consolas" w:eastAsia="Consolas" w:hAnsi="Consolas"/>
          <w:color w:val="23324A"/>
          <w:sz w:val="17"/>
          <w:szCs w:val="17"/>
        </w:rPr>
        <w:t xml:space="preserve">  score_version,                     -- reproducibility</w:t>
      </w:r>
    </w:p>
    <w:p>
      <w:pPr>
        <w:shd w:fill="F1F4FA" w:val="clear"/>
        <w:spacing w:after="0" w:before="0"/>
        <w:ind w:left="170"/>
      </w:pPr>
      <w:r>
        <w:rPr>
          <w:rFonts w:ascii="Consolas" w:cs="Consolas" w:eastAsia="Consolas" w:hAnsi="Consolas"/>
          <w:color w:val="23324A"/>
          <w:sz w:val="17"/>
          <w:szCs w:val="17"/>
        </w:rPr>
        <w:t xml:space="preserve">  inputs jsonb,                      -- explainability: what fed this score</w:t>
      </w:r>
    </w:p>
    <w:p>
      <w:pPr>
        <w:shd w:fill="F1F4FA" w:val="clear"/>
        <w:spacing w:after="0" w:before="0"/>
        <w:ind w:left="170"/>
      </w:pPr>
      <w:r>
        <w:rPr>
          <w:rFonts w:ascii="Consolas" w:cs="Consolas" w:eastAsia="Consolas" w:hAnsi="Consolas"/>
          <w:color w:val="23324A"/>
          <w:sz w:val="17"/>
          <w:szCs w:val="17"/>
        </w:rPr>
        <w:t xml:space="preserve">  computed_at</w:t>
      </w:r>
    </w:p>
    <w:p>
      <w:pPr>
        <w:shd w:fill="F1F4FA" w:val="clear"/>
        <w:spacing w:after="0" w:before="0"/>
        <w:ind w:left="170"/>
      </w:pPr>
      <w:r>
        <w:rPr>
          <w:rFonts w:ascii="Consolas" w:cs="Consolas" w:eastAsia="Consolas" w:hAnsi="Consolas"/>
          <w:color w:val="23324A"/>
          <w:sz w:val="17"/>
          <w:szCs w:val="17"/>
        </w:rPr>
        <w:t xml:space="preserve">)</w:t>
      </w:r>
    </w:p>
    <w:p>
      <w:pPr>
        <w:shd w:fill="F1F4FA" w:val="clear"/>
        <w:spacing w:after="0" w:before="0"/>
        <w:ind w:left="170"/>
      </w:pPr>
      <w:r>
        <w:rPr>
          <w:rFonts w:ascii="Consolas" w:cs="Consolas" w:eastAsia="Consolas" w:hAnsi="Consolas"/>
          <w:color w:val="23324A"/>
          <w:sz w:val="17"/>
          <w:szCs w:val="17"/>
        </w:rPr>
        <w:t xml:space="preserve"> </w:t>
      </w:r>
    </w:p>
    <w:p>
      <w:pPr>
        <w:shd w:fill="F1F4FA" w:val="clear"/>
        <w:spacing w:after="0" w:before="0"/>
        <w:ind w:left="170"/>
      </w:pPr>
      <w:r>
        <w:rPr>
          <w:rFonts w:ascii="Consolas" w:cs="Consolas" w:eastAsia="Consolas" w:hAnsi="Consolas"/>
          <w:color w:val="23324A"/>
          <w:sz w:val="17"/>
          <w:szCs w:val="17"/>
        </w:rPr>
        <w:t xml:space="preserve">-- ── AI output: persisted + reviewable ────────────────────────────────</w:t>
      </w:r>
    </w:p>
    <w:p>
      <w:pPr>
        <w:shd w:fill="F1F4FA" w:val="clear"/>
        <w:spacing w:after="0" w:before="0"/>
        <w:ind w:left="170"/>
      </w:pPr>
      <w:r>
        <w:rPr>
          <w:rFonts w:ascii="Consolas" w:cs="Consolas" w:eastAsia="Consolas" w:hAnsi="Consolas"/>
          <w:color w:val="23324A"/>
          <w:sz w:val="17"/>
          <w:szCs w:val="17"/>
        </w:rPr>
        <w:t xml:space="preserve">ai_outputs (</w:t>
      </w:r>
    </w:p>
    <w:p>
      <w:pPr>
        <w:shd w:fill="F1F4FA" w:val="clear"/>
        <w:spacing w:after="0" w:before="0"/>
        <w:ind w:left="170"/>
      </w:pPr>
      <w:r>
        <w:rPr>
          <w:rFonts w:ascii="Consolas" w:cs="Consolas" w:eastAsia="Consolas" w:hAnsi="Consolas"/>
          <w:color w:val="23324A"/>
          <w:sz w:val="17"/>
          <w:szCs w:val="17"/>
        </w:rPr>
        <w:t xml:space="preserve">  id, org_id, kind,                  -- subtier|contract_analysis</w:t>
      </w:r>
    </w:p>
    <w:p>
      <w:pPr>
        <w:shd w:fill="F1F4FA" w:val="clear"/>
        <w:spacing w:after="0" w:before="0"/>
        <w:ind w:left="170"/>
      </w:pPr>
      <w:r>
        <w:rPr>
          <w:rFonts w:ascii="Consolas" w:cs="Consolas" w:eastAsia="Consolas" w:hAnsi="Consolas"/>
          <w:color w:val="23324A"/>
          <w:sz w:val="17"/>
          <w:szCs w:val="17"/>
        </w:rPr>
        <w:t xml:space="preserve">  subject_supplier_id, model, prompt_version,</w:t>
      </w:r>
    </w:p>
    <w:p>
      <w:pPr>
        <w:shd w:fill="F1F4FA" w:val="clear"/>
        <w:spacing w:after="0" w:before="0"/>
        <w:ind w:left="170"/>
      </w:pPr>
      <w:r>
        <w:rPr>
          <w:rFonts w:ascii="Consolas" w:cs="Consolas" w:eastAsia="Consolas" w:hAnsi="Consolas"/>
          <w:color w:val="23324A"/>
          <w:sz w:val="17"/>
          <w:szCs w:val="17"/>
        </w:rPr>
        <w:t xml:space="preserve">  payload jsonb, provenance,</w:t>
      </w:r>
    </w:p>
    <w:p>
      <w:pPr>
        <w:shd w:fill="F1F4FA" w:val="clear"/>
        <w:spacing w:after="0" w:before="0"/>
        <w:ind w:left="170"/>
      </w:pPr>
      <w:r>
        <w:rPr>
          <w:rFonts w:ascii="Consolas" w:cs="Consolas" w:eastAsia="Consolas" w:hAnsi="Consolas"/>
          <w:color w:val="23324A"/>
          <w:sz w:val="17"/>
          <w:szCs w:val="17"/>
        </w:rPr>
        <w:t xml:space="preserve">  review_state,                      -- pending|accepted|rejected|edited</w:t>
      </w:r>
    </w:p>
    <w:p>
      <w:pPr>
        <w:shd w:fill="F1F4FA" w:val="clear"/>
        <w:spacing w:after="0" w:before="0"/>
        <w:ind w:left="170"/>
      </w:pPr>
      <w:r>
        <w:rPr>
          <w:rFonts w:ascii="Consolas" w:cs="Consolas" w:eastAsia="Consolas" w:hAnsi="Consolas"/>
          <w:color w:val="23324A"/>
          <w:sz w:val="17"/>
          <w:szCs w:val="17"/>
        </w:rPr>
        <w:t xml:space="preserve">  reviewed_by, reviewed_at, created_at</w:t>
      </w:r>
    </w:p>
    <w:p>
      <w:pPr>
        <w:shd w:fill="F1F4FA" w:val="clear"/>
        <w:spacing w:after="0" w:before="0"/>
        <w:ind w:left="170"/>
      </w:pPr>
      <w:r>
        <w:rPr>
          <w:rFonts w:ascii="Consolas" w:cs="Consolas" w:eastAsia="Consolas" w:hAnsi="Consolas"/>
          <w:color w:val="23324A"/>
          <w:sz w:val="17"/>
          <w:szCs w:val="17"/>
        </w:rPr>
        <w:t xml:space="preserve">)</w:t>
      </w:r>
    </w:p>
    <w:p>
      <w:pPr>
        <w:shd w:fill="F1F4FA" w:val="clear"/>
        <w:spacing w:after="0" w:before="0"/>
        <w:ind w:left="170"/>
      </w:pPr>
      <w:r>
        <w:rPr>
          <w:rFonts w:ascii="Consolas" w:cs="Consolas" w:eastAsia="Consolas" w:hAnsi="Consolas"/>
          <w:color w:val="23324A"/>
          <w:sz w:val="17"/>
          <w:szCs w:val="17"/>
        </w:rPr>
        <w:t xml:space="preserve"> </w:t>
      </w:r>
    </w:p>
    <w:p>
      <w:pPr>
        <w:shd w:fill="F1F4FA" w:val="clear"/>
        <w:spacing w:after="0" w:before="0"/>
        <w:ind w:left="170"/>
      </w:pPr>
      <w:r>
        <w:rPr>
          <w:rFonts w:ascii="Consolas" w:cs="Consolas" w:eastAsia="Consolas" w:hAnsi="Consolas"/>
          <w:color w:val="23324A"/>
          <w:sz w:val="17"/>
          <w:szCs w:val="17"/>
        </w:rPr>
        <w:t xml:space="preserve">-- ── Ingestion staging ────────────────────────────────────────────────</w:t>
      </w:r>
    </w:p>
    <w:p>
      <w:pPr>
        <w:shd w:fill="F1F4FA" w:val="clear"/>
        <w:spacing w:after="0" w:before="0"/>
        <w:ind w:left="170"/>
      </w:pPr>
      <w:r>
        <w:rPr>
          <w:rFonts w:ascii="Consolas" w:cs="Consolas" w:eastAsia="Consolas" w:hAnsi="Consolas"/>
          <w:color w:val="23324A"/>
          <w:sz w:val="17"/>
          <w:szCs w:val="17"/>
        </w:rPr>
        <w:t xml:space="preserve">import_batches (id, org_id, filename, uploaded_by, row_count, status,</w:t>
      </w:r>
    </w:p>
    <w:p>
      <w:pPr>
        <w:shd w:fill="F1F4FA" w:val="clear"/>
        <w:spacing w:after="0" w:before="0"/>
        <w:ind w:left="170"/>
      </w:pPr>
      <w:r>
        <w:rPr>
          <w:rFonts w:ascii="Consolas" w:cs="Consolas" w:eastAsia="Consolas" w:hAnsi="Consolas"/>
          <w:color w:val="23324A"/>
          <w:sz w:val="17"/>
          <w:szCs w:val="17"/>
        </w:rPr>
        <w:t xml:space="preserve">                column_mapping jsonb, created_at)</w:t>
      </w:r>
    </w:p>
    <w:p>
      <w:pPr>
        <w:shd w:fill="F1F4FA" w:val="clear"/>
        <w:spacing w:after="0" w:before="0"/>
        <w:ind w:left="170"/>
      </w:pPr>
      <w:r>
        <w:rPr>
          <w:rFonts w:ascii="Consolas" w:cs="Consolas" w:eastAsia="Consolas" w:hAnsi="Consolas"/>
          <w:color w:val="23324A"/>
          <w:sz w:val="17"/>
          <w:szCs w:val="17"/>
        </w:rPr>
        <w:t xml:space="preserve">import_rows    (id, batch_id, raw jsonb, normalized jsonb,</w:t>
      </w:r>
    </w:p>
    <w:p>
      <w:pPr>
        <w:shd w:fill="F1F4FA" w:val="clear"/>
        <w:spacing w:after="0" w:before="0"/>
        <w:ind w:left="170"/>
      </w:pPr>
      <w:r>
        <w:rPr>
          <w:rFonts w:ascii="Consolas" w:cs="Consolas" w:eastAsia="Consolas" w:hAnsi="Consolas"/>
          <w:color w:val="23324A"/>
          <w:sz w:val="17"/>
          <w:szCs w:val="17"/>
        </w:rPr>
        <w:t xml:space="preserve">                resolution_state, candidates jsonb,</w:t>
      </w:r>
    </w:p>
    <w:p>
      <w:pPr>
        <w:shd w:fill="F1F4FA" w:val="clear"/>
        <w:spacing w:after="0" w:before="0"/>
        <w:ind w:left="170"/>
      </w:pPr>
      <w:r>
        <w:rPr>
          <w:rFonts w:ascii="Consolas" w:cs="Consolas" w:eastAsia="Consolas" w:hAnsi="Consolas"/>
          <w:color w:val="23324A"/>
          <w:sz w:val="17"/>
          <w:szCs w:val="17"/>
        </w:rPr>
        <w:t xml:space="preserve">                chosen_entity_id, supplier_id, error)</w:t>
      </w:r>
    </w:p>
    <w:p>
      <w:pPr>
        <w:shd w:fill="F1F4FA" w:val="clear"/>
        <w:spacing w:after="0" w:before="0"/>
        <w:ind w:left="170"/>
      </w:pPr>
      <w:r>
        <w:rPr>
          <w:rFonts w:ascii="Consolas" w:cs="Consolas" w:eastAsia="Consolas" w:hAnsi="Consolas"/>
          <w:color w:val="23324A"/>
          <w:sz w:val="17"/>
          <w:szCs w:val="17"/>
        </w:rPr>
        <w:t xml:space="preserve"> </w:t>
      </w:r>
    </w:p>
    <w:p>
      <w:pPr>
        <w:shd w:fill="F1F4FA" w:val="clear"/>
        <w:spacing w:after="0" w:before="0"/>
        <w:ind w:left="170"/>
      </w:pPr>
      <w:r>
        <w:rPr>
          <w:rFonts w:ascii="Consolas" w:cs="Consolas" w:eastAsia="Consolas" w:hAnsi="Consolas"/>
          <w:color w:val="23324A"/>
          <w:sz w:val="17"/>
          <w:szCs w:val="17"/>
        </w:rPr>
        <w:t xml:space="preserve">-- ── Ops ──────────────────────────────────────────────────────────────</w:t>
      </w:r>
    </w:p>
    <w:p>
      <w:pPr>
        <w:shd w:fill="F1F4FA" w:val="clear"/>
        <w:spacing w:after="0" w:before="0"/>
        <w:ind w:left="170"/>
      </w:pPr>
      <w:r>
        <w:rPr>
          <w:rFonts w:ascii="Consolas" w:cs="Consolas" w:eastAsia="Consolas" w:hAnsi="Consolas"/>
          <w:color w:val="23324A"/>
          <w:sz w:val="17"/>
          <w:szCs w:val="17"/>
        </w:rPr>
        <w:t xml:space="preserve">audit_log          (id, org_id, actor_user_id, action, target_type,</w:t>
      </w:r>
    </w:p>
    <w:p>
      <w:pPr>
        <w:shd w:fill="F1F4FA" w:val="clear"/>
        <w:spacing w:after="0" w:before="0"/>
        <w:ind w:left="170"/>
      </w:pPr>
      <w:r>
        <w:rPr>
          <w:rFonts w:ascii="Consolas" w:cs="Consolas" w:eastAsia="Consolas" w:hAnsi="Consolas"/>
          <w:color w:val="23324A"/>
          <w:sz w:val="17"/>
          <w:szCs w:val="17"/>
        </w:rPr>
        <w:t xml:space="preserve">                    target_id, before jsonb, after jsonb, created_at)</w:t>
      </w:r>
    </w:p>
    <w:p>
      <w:pPr>
        <w:shd w:fill="F1F4FA" w:val="clear"/>
        <w:spacing w:after="0" w:before="0"/>
        <w:ind w:left="170"/>
      </w:pPr>
      <w:r>
        <w:rPr>
          <w:rFonts w:ascii="Consolas" w:cs="Consolas" w:eastAsia="Consolas" w:hAnsi="Consolas"/>
          <w:color w:val="23324A"/>
          <w:sz w:val="17"/>
          <w:szCs w:val="17"/>
        </w:rPr>
        <w:t xml:space="preserve">notification_prefs (org_id, user_id, channel, event_types, min_severity)</w:t>
      </w:r>
    </w:p>
    <w:p>
      <w:pPr>
        <w:shd w:fill="F1F4FA" w:val="clear"/>
        <w:spacing w:after="170" w:before="0"/>
        <w:ind w:left="170"/>
      </w:pPr>
      <w:r>
        <w:rPr>
          <w:rFonts w:ascii="Consolas" w:cs="Consolas" w:eastAsia="Consolas" w:hAnsi="Consolas"/>
          <w:color w:val="23324A"/>
          <w:sz w:val="17"/>
          <w:szCs w:val="17"/>
        </w:rPr>
        <w:t xml:space="preserve">api_usage          (id, org_id, provider, units, cost_cents, occurred_at)</w:t>
      </w:r>
    </w:p>
    <w:p>
      <w:pPr>
        <w:spacing w:after="140"/>
      </w:pPr>
      <w:r>
        <w:rPr>
          <w:b w:val="false"/>
          <w:bCs w:val="false"/>
          <w:i w:val="false"/>
          <w:iCs w:val="false"/>
        </w:rPr>
        <w:t xml:space="preserve">Note </w:t>
      </w:r>
      <w:r>
        <w:rPr>
          <w:rFonts w:ascii="Consolas" w:cs="Consolas" w:eastAsia="Consolas" w:hAnsi="Consolas"/>
          <w:b w:val="false"/>
          <w:bCs w:val="false"/>
          <w:i w:val="false"/>
          <w:iCs w:val="false"/>
          <w:sz w:val="20"/>
          <w:szCs w:val="20"/>
        </w:rPr>
        <w:t xml:space="preserve">risk_scores.inputs</w:t>
      </w:r>
      <w:r>
        <w:rPr>
          <w:b w:val="false"/>
          <w:bCs w:val="false"/>
          <w:i w:val="false"/>
          <w:iCs w:val="false"/>
        </w:rPr>
        <w:t xml:space="preserve"> and </w:t>
      </w:r>
      <w:r>
        <w:rPr>
          <w:rFonts w:ascii="Consolas" w:cs="Consolas" w:eastAsia="Consolas" w:hAnsi="Consolas"/>
          <w:b w:val="false"/>
          <w:bCs w:val="false"/>
          <w:i w:val="false"/>
          <w:iCs w:val="false"/>
          <w:sz w:val="20"/>
          <w:szCs w:val="20"/>
        </w:rPr>
        <w:t xml:space="preserve">ai_outputs.provenance</w:t>
      </w:r>
      <w:r>
        <w:rPr>
          <w:b w:val="false"/>
          <w:bCs w:val="false"/>
          <w:i w:val="false"/>
          <w:iCs w:val="false"/>
        </w:rPr>
        <w:t xml:space="preserve">: the UI already has “Why this recommendation” and evidence badges. These columns are what make those honest instead of decorative.</w:t>
      </w:r>
    </w:p>
    <w:p>
      <w:pPr>
        <w:pStyle w:val="Heading1"/>
      </w:pPr>
      <w:r>
        <w:t xml:space="preserve">4. Entity resolution — the core technical risk</w:t>
      </w:r>
    </w:p>
    <w:p>
      <w:pPr>
        <w:spacing w:after="140"/>
      </w:pPr>
      <w:r>
        <w:rPr>
          <w:b w:val="false"/>
          <w:bCs w:val="false"/>
          <w:i w:val="false"/>
          <w:iCs w:val="false"/>
        </w:rPr>
        <w:t xml:space="preserve">This is the layer the demo hides. Its 50 suppliers are hand-curated and pre-matched; a real customer uploads 800 messy names. Every downstream number depends on getting this right.</w:t>
      </w:r>
    </w:p>
    <w:p>
      <w:pPr>
        <w:pBdr>
          <w:top w:val="single" w:color="E3E8F1" w:sz="2" w:space="6"/>
          <w:bottom w:val="single" w:color="E3E8F1" w:sz="2" w:space="6"/>
          <w:left w:val="single" w:color="B98900" w:sz="18" w:space="8"/>
          <w:right w:val="single" w:color="E3E8F1" w:sz="2" w:space="6"/>
        </w:pBdr>
        <w:shd w:fill="FFF8E8" w:val="clear"/>
        <w:spacing w:after="200" w:before="60"/>
      </w:pPr>
      <w:r>
        <w:rPr>
          <w:b/>
          <w:bCs/>
          <w:i w:val="false"/>
          <w:iCs w:val="false"/>
        </w:rPr>
        <w:t xml:space="preserve">Principle: deterministic → fuzzy → human → AI last. AI never produces a stored fact.</w:t>
      </w:r>
    </w:p>
    <w:p>
      <w:pPr>
        <w:spacing w:after="140"/>
      </w:pPr>
      <w:r>
        <w:rPr>
          <w:b/>
          <w:bCs/>
          <w:i w:val="false"/>
          <w:iCs w:val="false"/>
        </w:rPr>
        <w:t xml:space="preserve">Stage 0 — Normalize. </w:t>
      </w:r>
      <w:r>
        <w:rPr>
          <w:b w:val="false"/>
          <w:bCs w:val="false"/>
          <w:i w:val="false"/>
          <w:iCs w:val="false"/>
        </w:rPr>
        <w:t xml:space="preserve">Lowercase, strip diacritics, collapse punctuation, strip legal suffixes (Inc, LLC, Ltd, Limited, GmbH, AG, S.p.A., B.V., N.V., S.A., AB, A/S, Oy, Pty, PLC, Corp, Holdings, Group…). Always retain the original string.</w:t>
      </w:r>
    </w:p>
    <w:p>
      <w:pPr>
        <w:spacing w:after="140"/>
      </w:pPr>
      <w:r>
        <w:rPr>
          <w:b/>
          <w:bCs/>
          <w:i w:val="false"/>
          <w:iCs w:val="false"/>
        </w:rPr>
        <w:t xml:space="preserve">Stage 1 — Deterministic (confidence 1.0). </w:t>
      </w:r>
      <w:r>
        <w:rPr>
          <w:b w:val="false"/>
          <w:bCs w:val="false"/>
          <w:i w:val="false"/>
          <w:iCs w:val="false"/>
        </w:rPr>
        <w:t xml:space="preserve">If the customer supplied an identifier, use it:</w:t>
      </w:r>
    </w:p>
    <w:p>
      <w:pPr>
        <w:pStyle w:val="ListParagraph"/>
        <w:numPr>
          <w:ilvl w:val="0"/>
          <w:numId w:val="3"/>
        </w:numPr>
        <w:spacing w:after="70"/>
      </w:pPr>
      <w:r>
        <w:rPr>
          <w:b w:val="false"/>
          <w:bCs w:val="false"/>
          <w:i w:val="false"/>
          <w:iCs w:val="false"/>
        </w:rPr>
        <w:t xml:space="preserve">Ticker → SEC </w:t>
      </w:r>
      <w:r>
        <w:rPr>
          <w:rFonts w:ascii="Consolas" w:cs="Consolas" w:eastAsia="Consolas" w:hAnsi="Consolas"/>
          <w:b w:val="false"/>
          <w:bCs w:val="false"/>
          <w:i w:val="false"/>
          <w:iCs w:val="false"/>
          <w:sz w:val="20"/>
          <w:szCs w:val="20"/>
        </w:rPr>
        <w:t xml:space="preserve">company_tickers.json</w:t>
      </w:r>
      <w:r>
        <w:rPr>
          <w:b w:val="false"/>
          <w:bCs w:val="false"/>
          <w:i w:val="false"/>
          <w:iCs w:val="false"/>
        </w:rPr>
        <w:t xml:space="preserve"> (cache locally, ~10k rows, refresh weekly) → CIK → verified</w:t>
      </w:r>
    </w:p>
    <w:p>
      <w:pPr>
        <w:pStyle w:val="ListParagraph"/>
        <w:numPr>
          <w:ilvl w:val="0"/>
          <w:numId w:val="3"/>
        </w:numPr>
        <w:spacing w:after="70"/>
      </w:pPr>
      <w:r>
        <w:rPr>
          <w:b w:val="false"/>
          <w:bCs w:val="false"/>
          <w:i w:val="false"/>
          <w:iCs w:val="false"/>
        </w:rPr>
        <w:t xml:space="preserve">LEI → GLEIF exact lookup → verified</w:t>
      </w:r>
    </w:p>
    <w:p>
      <w:pPr>
        <w:pStyle w:val="ListParagraph"/>
        <w:numPr>
          <w:ilvl w:val="0"/>
          <w:numId w:val="3"/>
        </w:numPr>
        <w:spacing w:after="70"/>
      </w:pPr>
      <w:r>
        <w:rPr>
          <w:b w:val="false"/>
          <w:bCs w:val="false"/>
          <w:i w:val="false"/>
          <w:iCs w:val="false"/>
        </w:rPr>
        <w:t xml:space="preserve">DUNS → store as customer_provided (not freely verifiable)</w:t>
      </w:r>
    </w:p>
    <w:p>
      <w:pPr>
        <w:spacing w:after="140"/>
      </w:pPr>
      <w:r>
        <w:rPr>
          <w:b w:val="false"/>
          <w:bCs w:val="false"/>
          <w:i w:val="false"/>
          <w:iCs w:val="false"/>
        </w:rPr>
        <w:t xml:space="preserve">UK company number → Companies House is deliberately out of scope (§1.1).</w:t>
      </w:r>
    </w:p>
    <w:p>
      <w:pPr>
        <w:spacing w:after="140"/>
      </w:pPr>
      <w:r>
        <w:rPr>
          <w:b/>
          <w:bCs/>
          <w:i w:val="false"/>
          <w:iCs w:val="false"/>
        </w:rPr>
        <w:t xml:space="preserve">Stage 2 — Candidate generation. </w:t>
      </w:r>
      <w:r>
        <w:rPr>
          <w:b w:val="false"/>
          <w:bCs w:val="false"/>
          <w:i w:val="false"/>
          <w:iCs w:val="false"/>
        </w:rPr>
        <w:t xml:space="preserve">For unresolved names, query two sources only: SEC name similarity via </w:t>
      </w:r>
      <w:r>
        <w:rPr>
          <w:rFonts w:ascii="Consolas" w:cs="Consolas" w:eastAsia="Consolas" w:hAnsi="Consolas"/>
          <w:b w:val="false"/>
          <w:bCs w:val="false"/>
          <w:i w:val="false"/>
          <w:iCs w:val="false"/>
          <w:sz w:val="20"/>
          <w:szCs w:val="20"/>
        </w:rPr>
        <w:t xml:space="preserve">pg_trgm</w:t>
      </w:r>
      <w:r>
        <w:rPr>
          <w:b w:val="false"/>
          <w:bCs w:val="false"/>
          <w:i w:val="false"/>
          <w:iCs w:val="false"/>
        </w:rPr>
        <w:t xml:space="preserve"> against the cached ticker/CIK file, and GLEIF fuzzy matching (reuse </w:t>
      </w:r>
      <w:r>
        <w:rPr>
          <w:rFonts w:ascii="Consolas" w:cs="Consolas" w:eastAsia="Consolas" w:hAnsi="Consolas"/>
          <w:b w:val="false"/>
          <w:bCs w:val="false"/>
          <w:i w:val="false"/>
          <w:iCs w:val="false"/>
          <w:sz w:val="20"/>
          <w:szCs w:val="20"/>
        </w:rPr>
        <w:t xml:space="preserve">/api/gleif</w:t>
      </w:r>
      <w:r>
        <w:rPr>
          <w:b w:val="false"/>
          <w:bCs w:val="false"/>
          <w:i w:val="false"/>
          <w:iCs w:val="false"/>
        </w:rPr>
        <w:t xml:space="preserve"> logic). Constrain by country_code when known. Building one resolver path instead of two is the single largest engineering saving from dropping dual mode (§1.1).</w:t>
      </w:r>
    </w:p>
    <w:p>
      <w:pPr>
        <w:spacing w:after="140"/>
      </w:pPr>
      <w:r>
        <w:rPr>
          <w:b/>
          <w:bCs/>
          <w:i w:val="false"/>
          <w:iCs w:val="false"/>
        </w:rPr>
        <w:t xml:space="preserve">Stage 3 — Score candidates. </w:t>
      </w:r>
      <w:r>
        <w:rPr>
          <w:b w:val="false"/>
          <w:bCs w:val="false"/>
          <w:i w:val="false"/>
          <w:iCs w:val="false"/>
        </w:rPr>
        <w:t xml:space="preserve">Name similarity (pg_trgm / Jaro-Winkler on normalized names) + country agreement (strong penalty on mismatch) + distinctive-token overlap (discard generic words). Explicitly flag parent-vs-subsidiary ambiguity rather than guessing.</w:t>
      </w:r>
    </w:p>
    <w:p>
      <w:pPr>
        <w:spacing w:after="140"/>
      </w:pPr>
      <w:r>
        <w:rPr>
          <w:b/>
          <w:bCs/>
          <w:i w:val="false"/>
          <w:iCs w:val="false"/>
        </w:rPr>
        <w:t xml:space="preserve">Stage 4 — Confidence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C9D1DF" w:sz="1"/>
              <w:left w:val="single" w:color="C9D1DF" w:sz="1"/>
              <w:bottom w:val="single" w:color="C9D1DF" w:sz="1"/>
              <w:right w:val="single" w:color="C9D1DF" w:sz="1"/>
            </w:tcBorders>
            <w:shd w:fill="E9EEF7" w:val="clear"/>
            <w:tcMar>
              <w:top w:type="dxa" w:w="90"/>
              <w:left w:type="dxa" w:w="130"/>
              <w:bottom w:type="dxa" w:w="90"/>
              <w:right w:type="dxa" w:w="130"/>
            </w:tcMar>
          </w:tcPr>
          <w:p>
            <w:r>
              <w:rPr>
                <w:b/>
                <w:bCs/>
                <w:color w:val="2B3A55"/>
                <w:sz w:val="18"/>
                <w:szCs w:val="18"/>
              </w:rPr>
              <w:t xml:space="preserve">Score</w:t>
            </w:r>
          </w:p>
        </w:tc>
        <w:tc>
          <w:tcPr>
            <w:tcW w:type="dxa" w:w="4160"/>
            <w:tcBorders>
              <w:top w:val="single" w:color="C9D1DF" w:sz="1"/>
              <w:left w:val="single" w:color="C9D1DF" w:sz="1"/>
              <w:bottom w:val="single" w:color="C9D1DF" w:sz="1"/>
              <w:right w:val="single" w:color="C9D1DF" w:sz="1"/>
            </w:tcBorders>
            <w:shd w:fill="E9EEF7" w:val="clear"/>
            <w:tcMar>
              <w:top w:type="dxa" w:w="90"/>
              <w:left w:type="dxa" w:w="130"/>
              <w:bottom w:type="dxa" w:w="90"/>
              <w:right w:type="dxa" w:w="130"/>
            </w:tcMar>
          </w:tcPr>
          <w:p>
            <w:r>
              <w:rPr>
                <w:b/>
                <w:bCs/>
                <w:color w:val="2B3A55"/>
                <w:sz w:val="18"/>
                <w:szCs w:val="18"/>
              </w:rPr>
              <w:t xml:space="preserve">Action</w:t>
            </w:r>
          </w:p>
        </w:tc>
        <w:tc>
          <w:tcPr>
            <w:tcW w:type="dxa" w:w="2400"/>
            <w:tcBorders>
              <w:top w:val="single" w:color="C9D1DF" w:sz="1"/>
              <w:left w:val="single" w:color="C9D1DF" w:sz="1"/>
              <w:bottom w:val="single" w:color="C9D1DF" w:sz="1"/>
              <w:right w:val="single" w:color="C9D1DF" w:sz="1"/>
            </w:tcBorders>
            <w:shd w:fill="E9EEF7" w:val="clear"/>
            <w:tcMar>
              <w:top w:type="dxa" w:w="90"/>
              <w:left w:type="dxa" w:w="130"/>
              <w:bottom w:type="dxa" w:w="90"/>
              <w:right w:type="dxa" w:w="130"/>
            </w:tcMar>
          </w:tcPr>
          <w:p>
            <w:r>
              <w:rPr>
                <w:b/>
                <w:bCs/>
                <w:color w:val="2B3A55"/>
                <w:sz w:val="18"/>
                <w:szCs w:val="18"/>
              </w:rPr>
              <w:t xml:space="preserve">Provenance</w:t>
            </w:r>
          </w:p>
        </w:tc>
      </w:tr>
      <w:tr>
        <w:tc>
          <w:tcPr>
            <w:tcW w:type="dxa" w:w="28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 0.92 + country match</w:t>
            </w:r>
          </w:p>
        </w:tc>
        <w:tc>
          <w:tcPr>
            <w:tcW w:type="dxa" w:w="416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auto-accept</w:t>
            </w:r>
          </w:p>
        </w:tc>
        <w:tc>
          <w:tcPr>
            <w:tcW w:type="dxa" w:w="24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rFonts w:ascii="Consolas" w:cs="Consolas" w:eastAsia="Consolas" w:hAnsi="Consolas"/>
                <w:b w:val="false"/>
                <w:bCs w:val="false"/>
                <w:i w:val="false"/>
                <w:iCs w:val="false"/>
                <w:color w:val="0E1520"/>
                <w:sz w:val="18"/>
                <w:szCs w:val="18"/>
              </w:rPr>
              <w:t xml:space="preserve">verified</w:t>
            </w:r>
          </w:p>
        </w:tc>
      </w:tr>
      <w:tr>
        <w:tc>
          <w:tcPr>
            <w:tcW w:type="dxa" w:w="280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two independent sources agree</w:t>
            </w:r>
          </w:p>
        </w:tc>
        <w:tc>
          <w:tcPr>
            <w:tcW w:type="dxa" w:w="416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auto-accept</w:t>
            </w:r>
          </w:p>
        </w:tc>
        <w:tc>
          <w:tcPr>
            <w:tcW w:type="dxa" w:w="240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rFonts w:ascii="Consolas" w:cs="Consolas" w:eastAsia="Consolas" w:hAnsi="Consolas"/>
                <w:b w:val="false"/>
                <w:bCs w:val="false"/>
                <w:i w:val="false"/>
                <w:iCs w:val="false"/>
                <w:color w:val="0E1520"/>
                <w:sz w:val="18"/>
                <w:szCs w:val="18"/>
              </w:rPr>
              <w:t xml:space="preserve">corroborated</w:t>
            </w:r>
          </w:p>
        </w:tc>
      </w:tr>
      <w:tr>
        <w:tc>
          <w:tcPr>
            <w:tcW w:type="dxa" w:w="28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0.70 – 0.92</w:t>
            </w:r>
          </w:p>
        </w:tc>
        <w:tc>
          <w:tcPr>
            <w:tcW w:type="dxa" w:w="416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bCs/>
                <w:i w:val="false"/>
                <w:iCs w:val="false"/>
                <w:color w:val="0E1520"/>
                <w:sz w:val="20"/>
                <w:szCs w:val="20"/>
              </w:rPr>
              <w:t xml:space="preserve">human review queue</w:t>
            </w:r>
            <w:r>
              <w:rPr>
                <w:b w:val="false"/>
                <w:bCs w:val="false"/>
                <w:i w:val="false"/>
                <w:iCs w:val="false"/>
                <w:color w:val="0E1520"/>
                <w:sz w:val="20"/>
                <w:szCs w:val="20"/>
              </w:rPr>
              <w:t xml:space="preserve"> (top 3 candidates)</w:t>
            </w:r>
          </w:p>
        </w:tc>
        <w:tc>
          <w:tcPr>
            <w:tcW w:type="dxa" w:w="24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set on accept</w:t>
            </w:r>
          </w:p>
        </w:tc>
      </w:tr>
      <w:tr>
        <w:tc>
          <w:tcPr>
            <w:tcW w:type="dxa" w:w="280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&lt; 0.70</w:t>
            </w:r>
          </w:p>
        </w:tc>
        <w:tc>
          <w:tcPr>
            <w:tcW w:type="dxa" w:w="416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create supplier, mark </w:t>
            </w:r>
            <w:r>
              <w:rPr>
                <w:b/>
                <w:bCs/>
                <w:i w:val="false"/>
                <w:iCs w:val="false"/>
                <w:color w:val="0E1520"/>
                <w:sz w:val="20"/>
                <w:szCs w:val="20"/>
              </w:rPr>
              <w:t xml:space="preserve">unenriched</w:t>
            </w:r>
          </w:p>
        </w:tc>
        <w:tc>
          <w:tcPr>
            <w:tcW w:type="dxa" w:w="240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w:t>
            </w:r>
          </w:p>
        </w:tc>
      </w:tr>
    </w:tbl>
    <w:p>
      <w:pPr>
        <w:spacing w:after="150"/>
      </w:pPr>
      <w:r>
        <w:t xml:space="preserve"/>
      </w:r>
    </w:p>
    <w:p>
      <w:pPr>
        <w:spacing w:after="140"/>
      </w:pPr>
      <w:r>
        <w:rPr>
          <w:b/>
          <w:bCs/>
          <w:i w:val="false"/>
          <w:iCs w:val="false"/>
        </w:rPr>
        <w:t xml:space="preserve">Low confidence must never block import and must never silently guess.</w:t>
      </w:r>
    </w:p>
    <w:p>
      <w:pPr>
        <w:spacing w:after="140"/>
      </w:pPr>
      <w:r>
        <w:rPr>
          <w:b/>
          <w:bCs/>
          <w:i w:val="false"/>
          <w:iCs w:val="false"/>
        </w:rPr>
        <w:t xml:space="preserve">Stage 5 — AI as a re-resolution hint only. </w:t>
      </w:r>
      <w:r>
        <w:rPr>
          <w:b w:val="false"/>
          <w:bCs w:val="false"/>
          <w:i w:val="false"/>
          <w:iCs w:val="false"/>
        </w:rPr>
        <w:t xml:space="preserve">For still-unmatched names, ask Claude (structured tool_use) for a likely legal name / jurisdiction / ticker, then re-run Stages 1–3 on that suggestion. The AI's answer is a search hint, never a stored fact. Anything accepted this way is inferred and visibly labelled. This replaces </w:t>
      </w:r>
      <w:r>
        <w:rPr>
          <w:rFonts w:ascii="Consolas" w:cs="Consolas" w:eastAsia="Consolas" w:hAnsi="Consolas"/>
          <w:b w:val="false"/>
          <w:bCs w:val="false"/>
          <w:i w:val="false"/>
          <w:iCs w:val="false"/>
          <w:sz w:val="20"/>
          <w:szCs w:val="20"/>
        </w:rPr>
        <w:t xml:space="preserve">/api/lookup-supplier</w:t>
      </w:r>
      <w:r>
        <w:rPr>
          <w:b w:val="false"/>
          <w:bCs w:val="false"/>
          <w:i w:val="false"/>
          <w:iCs w:val="false"/>
        </w:rPr>
        <w:t xml:space="preserve">, which must be deleted (§0b).</w:t>
      </w:r>
    </w:p>
    <w:p>
      <w:pPr>
        <w:pStyle w:val="Heading2"/>
      </w:pPr>
      <w:r>
        <w:t xml:space="preserve">Coverage reality — state this plainly in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60"/>
      </w:tblGrid>
      <w:tr>
        <w:trPr>
          <w:tblHeader/>
        </w:trPr>
        <w:tc>
          <w:tcPr>
            <w:tcW w:type="dxa" w:w="1700"/>
            <w:tcBorders>
              <w:top w:val="single" w:color="C9D1DF" w:sz="1"/>
              <w:left w:val="single" w:color="C9D1DF" w:sz="1"/>
              <w:bottom w:val="single" w:color="C9D1DF" w:sz="1"/>
              <w:right w:val="single" w:color="C9D1DF" w:sz="1"/>
            </w:tcBorders>
            <w:shd w:fill="E9EEF7" w:val="clear"/>
            <w:tcMar>
              <w:top w:type="dxa" w:w="90"/>
              <w:left w:type="dxa" w:w="130"/>
              <w:bottom w:type="dxa" w:w="90"/>
              <w:right w:type="dxa" w:w="130"/>
            </w:tcMar>
          </w:tcPr>
          <w:p>
            <w:r>
              <w:rPr>
                <w:b/>
                <w:bCs/>
                <w:color w:val="2B3A55"/>
                <w:sz w:val="18"/>
                <w:szCs w:val="18"/>
              </w:rPr>
              <w:t xml:space="preserve">Source</w:t>
            </w:r>
          </w:p>
        </w:tc>
        <w:tc>
          <w:tcPr>
            <w:tcW w:type="dxa" w:w="3600"/>
            <w:tcBorders>
              <w:top w:val="single" w:color="C9D1DF" w:sz="1"/>
              <w:left w:val="single" w:color="C9D1DF" w:sz="1"/>
              <w:bottom w:val="single" w:color="C9D1DF" w:sz="1"/>
              <w:right w:val="single" w:color="C9D1DF" w:sz="1"/>
            </w:tcBorders>
            <w:shd w:fill="E9EEF7" w:val="clear"/>
            <w:tcMar>
              <w:top w:type="dxa" w:w="90"/>
              <w:left w:type="dxa" w:w="130"/>
              <w:bottom w:type="dxa" w:w="90"/>
              <w:right w:type="dxa" w:w="130"/>
            </w:tcMar>
          </w:tcPr>
          <w:p>
            <w:r>
              <w:rPr>
                <w:b/>
                <w:bCs/>
                <w:color w:val="2B3A55"/>
                <w:sz w:val="18"/>
                <w:szCs w:val="18"/>
              </w:rPr>
              <w:t xml:space="preserve">Covers</w:t>
            </w:r>
          </w:p>
        </w:tc>
        <w:tc>
          <w:tcPr>
            <w:tcW w:type="dxa" w:w="4060"/>
            <w:tcBorders>
              <w:top w:val="single" w:color="C9D1DF" w:sz="1"/>
              <w:left w:val="single" w:color="C9D1DF" w:sz="1"/>
              <w:bottom w:val="single" w:color="C9D1DF" w:sz="1"/>
              <w:right w:val="single" w:color="C9D1DF" w:sz="1"/>
            </w:tcBorders>
            <w:shd w:fill="E9EEF7" w:val="clear"/>
            <w:tcMar>
              <w:top w:type="dxa" w:w="90"/>
              <w:left w:type="dxa" w:w="130"/>
              <w:bottom w:type="dxa" w:w="90"/>
              <w:right w:type="dxa" w:w="130"/>
            </w:tcMar>
          </w:tcPr>
          <w:p>
            <w:r>
              <w:rPr>
                <w:b/>
                <w:bCs/>
                <w:color w:val="2B3A55"/>
                <w:sz w:val="18"/>
                <w:szCs w:val="18"/>
              </w:rPr>
              <w:t xml:space="preserve">Blind spot</w:t>
            </w:r>
          </w:p>
        </w:tc>
      </w:tr>
      <w:tr>
        <w:tc>
          <w:tcPr>
            <w:tcW w:type="dxa" w:w="17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SEC EDGAR</w:t>
            </w:r>
          </w:p>
        </w:tc>
        <w:tc>
          <w:tcPr>
            <w:tcW w:type="dxa" w:w="36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US-listed public companies (~5–8k)</w:t>
            </w:r>
          </w:p>
        </w:tc>
        <w:tc>
          <w:tcPr>
            <w:tcW w:type="dxa" w:w="406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everything private — i.e. most suppliers</w:t>
            </w:r>
          </w:p>
        </w:tc>
      </w:tr>
      <w:tr>
        <w:tc>
          <w:tcPr>
            <w:tcW w:type="dxa" w:w="170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GLEIF</w:t>
            </w:r>
          </w:p>
        </w:tc>
        <w:tc>
          <w:tcPr>
            <w:tcW w:type="dxa" w:w="360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~2.5M LEI holders, skewed large/financial</w:t>
            </w:r>
          </w:p>
        </w:tc>
        <w:tc>
          <w:tcPr>
            <w:tcW w:type="dxa" w:w="406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small private suppliers often absent</w:t>
            </w:r>
          </w:p>
        </w:tc>
      </w:tr>
    </w:tbl>
    <w:p>
      <w:pPr>
        <w:spacing w:after="150"/>
      </w:pPr>
      <w:r>
        <w:t xml:space="preserve"/>
      </w:r>
    </w:p>
    <w:p>
      <w:pPr>
        <w:pBdr>
          <w:top w:val="single" w:color="E3E8F1" w:sz="2" w:space="6"/>
          <w:bottom w:val="single" w:color="E3E8F1" w:sz="2" w:space="6"/>
          <w:left w:val="single" w:color="B98900" w:sz="18" w:space="8"/>
          <w:right w:val="single" w:color="E3E8F1" w:sz="2" w:space="6"/>
        </w:pBdr>
        <w:shd w:fill="FFF8E8" w:val="clear"/>
        <w:spacing w:after="200" w:before="60"/>
      </w:pPr>
      <w:r>
        <w:rPr>
          <w:b/>
          <w:bCs/>
          <w:i w:val="false"/>
          <w:iCs w:val="false"/>
        </w:rPr>
        <w:t xml:space="preserve">The demo flatters both sources. </w:t>
      </w:r>
      <w:r>
        <w:rPr>
          <w:b w:val="false"/>
          <w:bCs w:val="false"/>
          <w:i w:val="false"/>
          <w:iCs w:val="false"/>
        </w:rPr>
        <w:t xml:space="preserve">Meridian's supplier list is largely real public companies — Flex, Emerson, Parker Hannifin, Honeywell, Moog, Textron, Ametek — so EDGAR hits on nearly everything. A real customer's list is mostly private machine shops, distributors and regional fabricators with no filings and often no LEI. Expect the unresolved tail to be far larger than the demo implies.</w:t>
      </w:r>
    </w:p>
    <w:p>
      <w:pPr>
        <w:spacing w:after="140"/>
      </w:pPr>
      <w:r>
        <w:rPr>
          <w:b w:val="false"/>
          <w:bCs w:val="false"/>
          <w:i w:val="false"/>
          <w:iCs w:val="false"/>
        </w:rPr>
        <w:t xml:space="preserve">Design for graceful degradation accordingly: “Unenriched · customer data only” beats a fabricated profile. The provenance UI already supports saying this honestly, which is a competitive advantage, not an apology.</w:t>
      </w:r>
    </w:p>
    <w:p>
      <w:pPr>
        <w:pStyle w:val="Heading1"/>
      </w:pPr>
      <w:r>
        <w:t xml:space="preserve">5. Ingestion flow</w:t>
      </w:r>
    </w:p>
    <w:p>
      <w:pPr>
        <w:shd w:fill="F1F4FA" w:val="clear"/>
        <w:spacing w:after="0" w:before="40"/>
        <w:ind w:left="170"/>
      </w:pPr>
      <w:r>
        <w:rPr>
          <w:rFonts w:ascii="Consolas" w:cs="Consolas" w:eastAsia="Consolas" w:hAnsi="Consolas"/>
          <w:color w:val="23324A"/>
          <w:sz w:val="17"/>
          <w:szCs w:val="17"/>
        </w:rPr>
        <w:t xml:space="preserve">CSV upload → import_batches</w:t>
      </w:r>
    </w:p>
    <w:p>
      <w:pPr>
        <w:shd w:fill="F1F4FA" w:val="clear"/>
        <w:spacing w:after="0" w:before="0"/>
        <w:ind w:left="170"/>
      </w:pPr>
      <w:r>
        <w:rPr>
          <w:rFonts w:ascii="Consolas" w:cs="Consolas" w:eastAsia="Consolas" w:hAnsi="Consolas"/>
          <w:color w:val="23324A"/>
          <w:sz w:val="17"/>
          <w:szCs w:val="17"/>
        </w:rPr>
        <w:t xml:space="preserve">   → column-mapping UI (their headers → our fields; remember per org)</w:t>
      </w:r>
    </w:p>
    <w:p>
      <w:pPr>
        <w:shd w:fill="F1F4FA" w:val="clear"/>
        <w:spacing w:after="0" w:before="0"/>
        <w:ind w:left="170"/>
      </w:pPr>
      <w:r>
        <w:rPr>
          <w:rFonts w:ascii="Consolas" w:cs="Consolas" w:eastAsia="Consolas" w:hAnsi="Consolas"/>
          <w:color w:val="23324A"/>
          <w:sz w:val="17"/>
          <w:szCs w:val="17"/>
        </w:rPr>
        <w:t xml:space="preserve">   → validate (required fields, dupes in file, currency/number parsing)</w:t>
      </w:r>
    </w:p>
    <w:p>
      <w:pPr>
        <w:shd w:fill="F1F4FA" w:val="clear"/>
        <w:spacing w:after="0" w:before="0"/>
        <w:ind w:left="170"/>
      </w:pPr>
      <w:r>
        <w:rPr>
          <w:rFonts w:ascii="Consolas" w:cs="Consolas" w:eastAsia="Consolas" w:hAnsi="Consolas"/>
          <w:color w:val="23324A"/>
          <w:sz w:val="17"/>
          <w:szCs w:val="17"/>
        </w:rPr>
        <w:t xml:space="preserve">   → entity resolution (§4) per row, write candidates to import_rows</w:t>
      </w:r>
    </w:p>
    <w:p>
      <w:pPr>
        <w:shd w:fill="F1F4FA" w:val="clear"/>
        <w:spacing w:after="0" w:before="0"/>
        <w:ind w:left="170"/>
      </w:pPr>
      <w:r>
        <w:rPr>
          <w:rFonts w:ascii="Consolas" w:cs="Consolas" w:eastAsia="Consolas" w:hAnsi="Consolas"/>
          <w:color w:val="23324A"/>
          <w:sz w:val="17"/>
          <w:szCs w:val="17"/>
        </w:rPr>
        <w:t xml:space="preserve">   → REVIEW QUEUE  ← first-class screen, not a modal</w:t>
      </w:r>
    </w:p>
    <w:p>
      <w:pPr>
        <w:shd w:fill="F1F4FA" w:val="clear"/>
        <w:spacing w:after="0" w:before="0"/>
        <w:ind w:left="170"/>
      </w:pPr>
      <w:r>
        <w:rPr>
          <w:rFonts w:ascii="Consolas" w:cs="Consolas" w:eastAsia="Consolas" w:hAnsi="Consolas"/>
          <w:color w:val="23324A"/>
          <w:sz w:val="17"/>
          <w:szCs w:val="17"/>
        </w:rPr>
        <w:t xml:space="preserve">        · auto-matched  (accept in bulk, spot-check)</w:t>
      </w:r>
    </w:p>
    <w:p>
      <w:pPr>
        <w:shd w:fill="F1F4FA" w:val="clear"/>
        <w:spacing w:after="0" w:before="0"/>
        <w:ind w:left="170"/>
      </w:pPr>
      <w:r>
        <w:rPr>
          <w:rFonts w:ascii="Consolas" w:cs="Consolas" w:eastAsia="Consolas" w:hAnsi="Consolas"/>
          <w:color w:val="23324A"/>
          <w:sz w:val="17"/>
          <w:szCs w:val="17"/>
        </w:rPr>
        <w:t xml:space="preserve">        · needs review  (top-3 candidates, choose / reject / mark private)</w:t>
      </w:r>
    </w:p>
    <w:p>
      <w:pPr>
        <w:shd w:fill="F1F4FA" w:val="clear"/>
        <w:spacing w:after="0" w:before="0"/>
        <w:ind w:left="170"/>
      </w:pPr>
      <w:r>
        <w:rPr>
          <w:rFonts w:ascii="Consolas" w:cs="Consolas" w:eastAsia="Consolas" w:hAnsi="Consolas"/>
          <w:color w:val="23324A"/>
          <w:sz w:val="17"/>
          <w:szCs w:val="17"/>
        </w:rPr>
        <w:t xml:space="preserve">        · unmatched     (import anyway as unenriched)</w:t>
      </w:r>
    </w:p>
    <w:p>
      <w:pPr>
        <w:shd w:fill="F1F4FA" w:val="clear"/>
        <w:spacing w:after="0" w:before="0"/>
        <w:ind w:left="170"/>
      </w:pPr>
      <w:r>
        <w:rPr>
          <w:rFonts w:ascii="Consolas" w:cs="Consolas" w:eastAsia="Consolas" w:hAnsi="Consolas"/>
          <w:color w:val="23324A"/>
          <w:sz w:val="17"/>
          <w:szCs w:val="17"/>
        </w:rPr>
        <w:t xml:space="preserve">   → commit → suppliers + supplier_identifiers (+ audit_log)</w:t>
      </w:r>
    </w:p>
    <w:p>
      <w:pPr>
        <w:shd w:fill="F1F4FA" w:val="clear"/>
        <w:spacing w:after="170" w:before="0"/>
        <w:ind w:left="170"/>
      </w:pPr>
      <w:r>
        <w:rPr>
          <w:rFonts w:ascii="Consolas" w:cs="Consolas" w:eastAsia="Consolas" w:hAnsi="Consolas"/>
          <w:color w:val="23324A"/>
          <w:sz w:val="17"/>
          <w:szCs w:val="17"/>
        </w:rPr>
        <w:t xml:space="preserve">   → enqueue enrichment for newly-linked entities</w:t>
      </w:r>
    </w:p>
    <w:p>
      <w:pPr>
        <w:spacing w:after="140"/>
      </w:pPr>
      <w:r>
        <w:rPr>
          <w:b w:val="false"/>
          <w:bCs w:val="false"/>
          <w:i w:val="false"/>
          <w:iCs w:val="false"/>
        </w:rPr>
        <w:t xml:space="preserve">Re-import must be idempotent: match on identifier first, then normalized name + country, and </w:t>
      </w:r>
      <w:r>
        <w:rPr>
          <w:b/>
          <w:bCs/>
          <w:i w:val="false"/>
          <w:iCs w:val="false"/>
        </w:rPr>
        <w:t xml:space="preserve">update</w:t>
      </w:r>
      <w:r>
        <w:rPr>
          <w:b w:val="false"/>
          <w:bCs w:val="false"/>
          <w:i w:val="false"/>
          <w:iCs w:val="false"/>
        </w:rPr>
        <w:t xml:space="preserve"> rather than duplicate.</w:t>
      </w:r>
    </w:p>
    <w:p>
      <w:pPr>
        <w:pStyle w:val="Heading1"/>
      </w:pPr>
      <w:r>
        <w:t xml:space="preserve">6. Make the scoring real</w:t>
      </w:r>
    </w:p>
    <w:p>
      <w:pPr>
        <w:spacing w:after="140"/>
      </w:pPr>
      <w:r>
        <w:rPr>
          <w:b w:val="false"/>
          <w:bCs w:val="false"/>
          <w:i w:val="false"/>
          <w:iCs w:val="false"/>
        </w:rPr>
        <w:t xml:space="preserve">Today </w:t>
      </w:r>
      <w:r>
        <w:rPr>
          <w:rFonts w:ascii="Consolas" w:cs="Consolas" w:eastAsia="Consolas" w:hAnsi="Consolas"/>
          <w:b w:val="false"/>
          <w:bCs w:val="false"/>
          <w:i w:val="false"/>
          <w:iCs w:val="false"/>
          <w:sz w:val="20"/>
          <w:szCs w:val="20"/>
        </w:rPr>
        <w:t xml:space="preserve">calcDPS</w:t>
      </w:r>
      <w:r>
        <w:rPr>
          <w:b w:val="false"/>
          <w:bCs w:val="false"/>
          <w:i w:val="false"/>
          <w:iCs w:val="false"/>
        </w:rPr>
        <w:t xml:space="preserve"> and friends (</w:t>
      </w:r>
      <w:r>
        <w:rPr>
          <w:rFonts w:ascii="Consolas" w:cs="Consolas" w:eastAsia="Consolas" w:hAnsi="Consolas"/>
          <w:b w:val="false"/>
          <w:bCs w:val="false"/>
          <w:i w:val="false"/>
          <w:iCs w:val="false"/>
          <w:sz w:val="20"/>
          <w:szCs w:val="20"/>
        </w:rPr>
        <w:t xml:space="preserve">src/lib/analytics.ts</w:t>
      </w:r>
      <w:r>
        <w:rPr>
          <w:b w:val="false"/>
          <w:bCs w:val="false"/>
          <w:i w:val="false"/>
          <w:iCs w:val="false"/>
        </w:rPr>
        <w:t xml:space="preserve">) compute from mock fields client-side. Move to the server, run against </w:t>
      </w:r>
      <w:r>
        <w:rPr>
          <w:rFonts w:ascii="Consolas" w:cs="Consolas" w:eastAsia="Consolas" w:hAnsi="Consolas"/>
          <w:b w:val="false"/>
          <w:bCs w:val="false"/>
          <w:i w:val="false"/>
          <w:iCs w:val="false"/>
          <w:sz w:val="20"/>
          <w:szCs w:val="20"/>
        </w:rPr>
        <w:t xml:space="preserve">entity_snapshots</w:t>
      </w:r>
      <w:r>
        <w:rPr>
          <w:b w:val="false"/>
          <w:bCs w:val="false"/>
          <w:i w:val="false"/>
          <w:iCs w:val="false"/>
        </w:rPr>
        <w:t xml:space="preserve"> + customer data, and write to </w:t>
      </w:r>
      <w:r>
        <w:rPr>
          <w:rFonts w:ascii="Consolas" w:cs="Consolas" w:eastAsia="Consolas" w:hAnsi="Consolas"/>
          <w:b w:val="false"/>
          <w:bCs w:val="false"/>
          <w:i w:val="false"/>
          <w:iCs w:val="false"/>
          <w:sz w:val="20"/>
          <w:szCs w:val="20"/>
        </w:rPr>
        <w:t xml:space="preserve">risk_scores</w:t>
      </w:r>
      <w:r>
        <w:rPr>
          <w:b w:val="false"/>
          <w:bCs w:val="false"/>
          <w:i w:val="false"/>
          <w:iCs w:val="false"/>
        </w:rPr>
        <w:t xml:space="preserve"> with:</w:t>
      </w:r>
    </w:p>
    <w:p>
      <w:pPr>
        <w:pStyle w:val="ListParagraph"/>
        <w:numPr>
          <w:ilvl w:val="0"/>
          <w:numId w:val="3"/>
        </w:numPr>
        <w:spacing w:after="70"/>
      </w:pPr>
      <w:r>
        <w:rPr>
          <w:rFonts w:ascii="Consolas" w:cs="Consolas" w:eastAsia="Consolas" w:hAnsi="Consolas"/>
          <w:b w:val="false"/>
          <w:bCs w:val="false"/>
          <w:i w:val="false"/>
          <w:iCs w:val="false"/>
          <w:sz w:val="20"/>
          <w:szCs w:val="20"/>
        </w:rPr>
        <w:t xml:space="preserve">score_version</w:t>
      </w:r>
      <w:r>
        <w:rPr>
          <w:b w:val="false"/>
          <w:bCs w:val="false"/>
          <w:i w:val="false"/>
          <w:iCs w:val="false"/>
        </w:rPr>
        <w:t xml:space="preserve"> — so a score is reproducible and you can explain a change as methodology vs data</w:t>
      </w:r>
    </w:p>
    <w:p>
      <w:pPr>
        <w:pStyle w:val="ListParagraph"/>
        <w:numPr>
          <w:ilvl w:val="0"/>
          <w:numId w:val="3"/>
        </w:numPr>
        <w:spacing w:after="70"/>
      </w:pPr>
      <w:r>
        <w:rPr>
          <w:rFonts w:ascii="Consolas" w:cs="Consolas" w:eastAsia="Consolas" w:hAnsi="Consolas"/>
          <w:b w:val="false"/>
          <w:bCs w:val="false"/>
          <w:i w:val="false"/>
          <w:iCs w:val="false"/>
          <w:sz w:val="20"/>
          <w:szCs w:val="20"/>
        </w:rPr>
        <w:t xml:space="preserve">inputs jsonb</w:t>
      </w:r>
      <w:r>
        <w:rPr>
          <w:b w:val="false"/>
          <w:bCs w:val="false"/>
          <w:i w:val="false"/>
          <w:iCs w:val="false"/>
        </w:rPr>
        <w:t xml:space="preserve"> — the actual values used, so “Why this score” cites real numbers</w:t>
      </w:r>
    </w:p>
    <w:p>
      <w:pPr>
        <w:pStyle w:val="ListParagraph"/>
        <w:numPr>
          <w:ilvl w:val="0"/>
          <w:numId w:val="3"/>
        </w:numPr>
        <w:spacing w:after="70"/>
      </w:pPr>
      <w:r>
        <w:rPr>
          <w:b w:val="false"/>
          <w:bCs w:val="false"/>
          <w:i w:val="false"/>
          <w:iCs w:val="false"/>
        </w:rPr>
        <w:t xml:space="preserve">one row per computation — trend sparklines become real history instead of </w:t>
      </w:r>
      <w:r>
        <w:rPr>
          <w:rFonts w:ascii="Consolas" w:cs="Consolas" w:eastAsia="Consolas" w:hAnsi="Consolas"/>
          <w:b w:val="false"/>
          <w:bCs w:val="false"/>
          <w:i w:val="false"/>
          <w:iCs w:val="false"/>
          <w:sz w:val="20"/>
          <w:szCs w:val="20"/>
        </w:rPr>
        <w:t xml:space="preserve">dps * 0.6, dps * 0.75, …</w:t>
      </w:r>
    </w:p>
    <w:p>
      <w:pPr>
        <w:spacing w:after="140"/>
      </w:pPr>
      <w:r>
        <w:rPr>
          <w:b w:val="false"/>
          <w:bCs w:val="false"/>
          <w:i w:val="false"/>
          <w:iCs w:val="false"/>
        </w:rPr>
        <w:t xml:space="preserve">Write a short scoring methodology doc. Procurement buyers </w:t>
      </w:r>
      <w:r>
        <w:rPr>
          <w:b/>
          <w:bCs/>
          <w:i w:val="false"/>
          <w:iCs w:val="false"/>
        </w:rPr>
        <w:t xml:space="preserve">will</w:t>
      </w:r>
      <w:r>
        <w:rPr>
          <w:b w:val="false"/>
          <w:bCs w:val="false"/>
          <w:i w:val="false"/>
          <w:iCs w:val="false"/>
        </w:rPr>
        <w:t xml:space="preserve"> ask how the number is made, and “proprietary” is not an acceptable answer to a risk committee.</w:t>
      </w:r>
    </w:p>
    <w:p>
      <w:pPr>
        <w:pStyle w:val="Heading1"/>
      </w:pPr>
      <w:r>
        <w:t xml:space="preserve">7. Background refresh + real alerts</w:t>
      </w:r>
    </w:p>
    <w:p>
      <w:pPr>
        <w:spacing w:after="140"/>
      </w:pPr>
      <w:r>
        <w:rPr>
          <w:b w:val="false"/>
          <w:bCs w:val="false"/>
          <w:i w:val="false"/>
          <w:iCs w:val="false"/>
        </w:rPr>
        <w:t xml:space="preserve">Feeds are per-request cached (</w:t>
      </w:r>
      <w:r>
        <w:rPr>
          <w:rFonts w:ascii="Consolas" w:cs="Consolas" w:eastAsia="Consolas" w:hAnsi="Consolas"/>
          <w:b w:val="false"/>
          <w:bCs w:val="false"/>
          <w:i w:val="false"/>
          <w:iCs w:val="false"/>
          <w:sz w:val="20"/>
          <w:szCs w:val="20"/>
        </w:rPr>
        <w:t xml:space="preserve">revalidate = 900</w:t>
      </w:r>
      <w:r>
        <w:rPr>
          <w:b w:val="false"/>
          <w:bCs w:val="false"/>
          <w:i w:val="false"/>
          <w:iCs w:val="false"/>
        </w:rPr>
        <w:t xml:space="preserve">) and matched on the fly — nothing is stored or delivered.</w:t>
      </w:r>
    </w:p>
    <w:p>
      <w:pPr>
        <w:pStyle w:val="ListParagraph"/>
        <w:numPr>
          <w:ilvl w:val="0"/>
          <w:numId w:val="3"/>
        </w:numPr>
        <w:spacing w:after="70"/>
      </w:pPr>
      <w:r>
        <w:rPr>
          <w:b/>
          <w:bCs/>
          <w:i w:val="false"/>
          <w:iCs w:val="false"/>
        </w:rPr>
        <w:t xml:space="preserve">Cron: every 15–30 min</w:t>
      </w:r>
      <w:r>
        <w:rPr>
          <w:b w:val="false"/>
          <w:bCs w:val="false"/>
          <w:i w:val="false"/>
          <w:iCs w:val="false"/>
        </w:rPr>
        <w:t xml:space="preserve"> — poll GDELT / USGS / NWS / EONET → upsert events by external_id</w:t>
      </w:r>
    </w:p>
    <w:p>
      <w:pPr>
        <w:pStyle w:val="ListParagraph"/>
        <w:numPr>
          <w:ilvl w:val="0"/>
          <w:numId w:val="3"/>
        </w:numPr>
        <w:spacing w:after="70"/>
      </w:pPr>
      <w:r>
        <w:rPr>
          <w:b/>
          <w:bCs/>
          <w:i w:val="false"/>
          <w:iCs w:val="false"/>
        </w:rPr>
        <w:t xml:space="preserve">Cron: nightly</w:t>
      </w:r>
      <w:r>
        <w:rPr>
          <w:b w:val="false"/>
          <w:bCs w:val="false"/>
          <w:i w:val="false"/>
          <w:iCs w:val="false"/>
        </w:rPr>
        <w:t xml:space="preserve"> — refresh entity_snapshots (EDGAR, GLEIF, sanctions), recompute risk_scores</w:t>
      </w:r>
    </w:p>
    <w:p>
      <w:pPr>
        <w:pStyle w:val="ListParagraph"/>
        <w:numPr>
          <w:ilvl w:val="0"/>
          <w:numId w:val="3"/>
        </w:numPr>
        <w:spacing w:after="70"/>
      </w:pPr>
      <w:r>
        <w:rPr>
          <w:b/>
          <w:bCs/>
          <w:i w:val="false"/>
          <w:iCs w:val="false"/>
        </w:rPr>
        <w:t xml:space="preserve">On event ingest</w:t>
      </w:r>
      <w:r>
        <w:rPr>
          <w:b w:val="false"/>
          <w:bCs w:val="false"/>
          <w:i w:val="false"/>
          <w:iCs w:val="false"/>
        </w:rPr>
        <w:t xml:space="preserve"> — compute event_supplier_matches (proximity via the existing </w:t>
      </w:r>
      <w:r>
        <w:rPr>
          <w:rFonts w:ascii="Consolas" w:cs="Consolas" w:eastAsia="Consolas" w:hAnsi="Consolas"/>
          <w:b w:val="false"/>
          <w:bCs w:val="false"/>
          <w:i w:val="false"/>
          <w:iCs w:val="false"/>
          <w:sz w:val="20"/>
          <w:szCs w:val="20"/>
        </w:rPr>
        <w:t xml:space="preserve">haversineKm</w:t>
      </w:r>
      <w:r>
        <w:rPr>
          <w:b w:val="false"/>
          <w:bCs w:val="false"/>
          <w:i w:val="false"/>
          <w:iCs w:val="false"/>
        </w:rPr>
        <w:t xml:space="preserve"> in src/lib/data/coords.ts; name-mention for GDELT) and persist</w:t>
      </w:r>
    </w:p>
    <w:p>
      <w:pPr>
        <w:pStyle w:val="ListParagraph"/>
        <w:numPr>
          <w:ilvl w:val="0"/>
          <w:numId w:val="3"/>
        </w:numPr>
        <w:spacing w:after="70"/>
      </w:pPr>
      <w:r>
        <w:rPr>
          <w:b/>
          <w:bCs/>
          <w:i w:val="false"/>
          <w:iCs w:val="false"/>
        </w:rPr>
        <w:t xml:space="preserve">Deliver</w:t>
      </w:r>
      <w:r>
        <w:rPr>
          <w:b w:val="false"/>
          <w:bCs w:val="false"/>
          <w:i w:val="false"/>
          <w:iCs w:val="false"/>
        </w:rPr>
        <w:t xml:space="preserve"> — email (Resend) + Slack on new matches above each user's threshold, honouring notification_prefs (the Settings toggles already exist and are currently inert). Dedupe per (supplier, event) and offer a daily digest, or you will spam people on day one.</w:t>
      </w:r>
    </w:p>
    <w:p>
      <w:pPr>
        <w:pBdr>
          <w:top w:val="single" w:color="E3E8F1" w:sz="2" w:space="6"/>
          <w:bottom w:val="single" w:color="E3E8F1" w:sz="2" w:space="6"/>
          <w:left w:val="single" w:color="0B7A55" w:sz="18" w:space="8"/>
          <w:right w:val="single" w:color="E3E8F1" w:sz="2" w:space="6"/>
        </w:pBdr>
        <w:shd w:fill="EDF7F1" w:val="clear"/>
        <w:spacing w:after="200" w:before="60"/>
      </w:pPr>
      <w:r>
        <w:rPr>
          <w:b/>
          <w:bCs/>
          <w:i w:val="false"/>
          <w:iCs w:val="false"/>
        </w:rPr>
        <w:t xml:space="preserve">Highest value-per-unit-effort item in the whole plan. </w:t>
      </w:r>
      <w:r>
        <w:rPr>
          <w:b w:val="false"/>
          <w:bCs w:val="false"/>
          <w:i w:val="false"/>
          <w:iCs w:val="false"/>
        </w:rPr>
        <w:t xml:space="preserve">The events are already real — they are simply not reaching anyone.</w:t>
      </w:r>
    </w:p>
    <w:p>
      <w:pPr>
        <w:pStyle w:val="Heading1"/>
      </w:pPr>
      <w:r>
        <w:t xml:space="preserve">8. Migrating the frontend (cheaper than it looks)</w:t>
      </w:r>
    </w:p>
    <w:p>
      <w:pPr>
        <w:pStyle w:val="ListParagraph"/>
        <w:numPr>
          <w:ilvl w:val="0"/>
          <w:numId w:val="2"/>
        </w:numPr>
        <w:spacing w:after="90"/>
      </w:pPr>
      <w:r>
        <w:rPr>
          <w:b w:val="false"/>
          <w:bCs w:val="false"/>
          <w:i w:val="false"/>
          <w:iCs w:val="false"/>
        </w:rPr>
        <w:t xml:space="preserve">Add </w:t>
      </w:r>
      <w:r>
        <w:rPr>
          <w:rFonts w:ascii="Consolas" w:cs="Consolas" w:eastAsia="Consolas" w:hAnsi="Consolas"/>
          <w:b w:val="false"/>
          <w:bCs w:val="false"/>
          <w:i w:val="false"/>
          <w:iCs w:val="false"/>
          <w:sz w:val="20"/>
          <w:szCs w:val="20"/>
        </w:rPr>
        <w:t xml:space="preserve">GET /api/bootstrap</w:t>
      </w:r>
      <w:r>
        <w:rPr>
          <w:b w:val="false"/>
          <w:bCs w:val="false"/>
          <w:i w:val="false"/>
          <w:iCs w:val="false"/>
        </w:rPr>
        <w:t xml:space="preserve"> → the org's full dataset in the shape AppContext already expects.</w:t>
      </w:r>
    </w:p>
    <w:p>
      <w:pPr>
        <w:pStyle w:val="ListParagraph"/>
        <w:numPr>
          <w:ilvl w:val="0"/>
          <w:numId w:val="2"/>
        </w:numPr>
        <w:spacing w:after="90"/>
      </w:pPr>
      <w:r>
        <w:rPr>
          <w:b/>
          <w:bCs/>
          <w:i w:val="false"/>
          <w:iCs w:val="false"/>
        </w:rPr>
        <w:t xml:space="preserve">Delete</w:t>
      </w:r>
      <w:r>
        <w:rPr>
          <w:b w:val="false"/>
          <w:bCs w:val="false"/>
          <w:i w:val="false"/>
          <w:iCs w:val="false"/>
        </w:rPr>
        <w:t xml:space="preserve"> the eleven clientMode ternaries (</w:t>
      </w:r>
      <w:r>
        <w:rPr>
          <w:rFonts w:ascii="Consolas" w:cs="Consolas" w:eastAsia="Consolas" w:hAnsi="Consolas"/>
          <w:b w:val="false"/>
          <w:bCs w:val="false"/>
          <w:i w:val="false"/>
          <w:iCs w:val="false"/>
          <w:sz w:val="20"/>
          <w:szCs w:val="20"/>
        </w:rPr>
        <w:t xml:space="preserve">AppContext.tsx:154–165</w:t>
      </w:r>
      <w:r>
        <w:rPr>
          <w:b w:val="false"/>
          <w:bCs w:val="false"/>
          <w:i w:val="false"/>
          <w:iCs w:val="false"/>
        </w:rPr>
        <w:t xml:space="preserve">) — do not port them across as branches. With a single client mode (§1.1), clientMode leaves production code entirely; org identity replaces it.</w:t>
      </w:r>
    </w:p>
    <w:p>
      <w:pPr>
        <w:pStyle w:val="ListParagraph"/>
        <w:numPr>
          <w:ilvl w:val="0"/>
          <w:numId w:val="2"/>
        </w:numPr>
        <w:spacing w:after="90"/>
      </w:pPr>
      <w:r>
        <w:rPr>
          <w:b w:val="false"/>
          <w:bCs w:val="false"/>
          <w:i w:val="false"/>
          <w:iCs w:val="false"/>
        </w:rPr>
        <w:t xml:space="preserve">Move </w:t>
      </w:r>
      <w:r>
        <w:rPr>
          <w:rFonts w:ascii="Consolas" w:cs="Consolas" w:eastAsia="Consolas" w:hAnsi="Consolas"/>
          <w:b w:val="false"/>
          <w:bCs w:val="false"/>
          <w:i w:val="false"/>
          <w:iCs w:val="false"/>
          <w:sz w:val="20"/>
          <w:szCs w:val="20"/>
        </w:rPr>
        <w:t xml:space="preserve">localStorage</w:t>
      </w:r>
      <w:r>
        <w:rPr>
          <w:b w:val="false"/>
          <w:bCs w:val="false"/>
          <w:i w:val="false"/>
          <w:iCs w:val="false"/>
        </w:rPr>
        <w:t xml:space="preserve"> state (custom suppliers, archives, risk appetite) to DB-backed endpoints.</w:t>
      </w:r>
    </w:p>
    <w:p>
      <w:pPr>
        <w:pStyle w:val="ListParagraph"/>
        <w:numPr>
          <w:ilvl w:val="0"/>
          <w:numId w:val="2"/>
        </w:numPr>
        <w:spacing w:after="90"/>
      </w:pPr>
      <w:r>
        <w:rPr>
          <w:b w:val="false"/>
          <w:bCs w:val="false"/>
          <w:i w:val="false"/>
          <w:iCs w:val="false"/>
        </w:rPr>
        <w:t xml:space="preserve">Then, incrementally: paginate / server-render the heavy tables (supplier register, events).</w:t>
      </w:r>
    </w:p>
    <w:p>
      <w:pPr>
        <w:spacing w:after="140"/>
      </w:pPr>
      <w:r>
        <w:rPr>
          <w:b/>
          <w:bCs/>
          <w:i w:val="false"/>
          <w:iCs w:val="false"/>
        </w:rPr>
        <w:t xml:space="preserve">Keep the sales demo working.</w:t>
      </w:r>
      <w:r>
        <w:rPr>
          <w:b w:val="false"/>
          <w:bCs w:val="false"/>
          <w:i w:val="false"/>
          <w:iCs w:val="false"/>
        </w:rPr>
        <w:t xml:space="preserve"> Seed an </w:t>
      </w:r>
      <w:r>
        <w:rPr>
          <w:rFonts w:ascii="Consolas" w:cs="Consolas" w:eastAsia="Consolas" w:hAnsi="Consolas"/>
          <w:b w:val="false"/>
          <w:bCs w:val="false"/>
          <w:i w:val="false"/>
          <w:iCs w:val="false"/>
          <w:sz w:val="20"/>
          <w:szCs w:val="20"/>
        </w:rPr>
        <w:t xml:space="preserve">is_demo</w:t>
      </w:r>
      <w:r>
        <w:rPr>
          <w:b w:val="false"/>
          <w:bCs w:val="false"/>
          <w:i w:val="false"/>
          <w:iCs w:val="false"/>
        </w:rPr>
        <w:t xml:space="preserve"> organization from the existing static data. The demo then runs on the same code path as real tenants — you keep the polished narrative and dogfood the real stack.</w:t>
      </w:r>
    </w:p>
    <w:p>
      <w:pPr>
        <w:pStyle w:val="Heading1"/>
      </w:pPr>
      <w:r>
        <w:t xml:space="preserve">9. Operational readiness (table stakes for procurement buyers)</w:t>
      </w:r>
    </w:p>
    <w:p>
      <w:pPr>
        <w:pStyle w:val="ListParagraph"/>
        <w:numPr>
          <w:ilvl w:val="0"/>
          <w:numId w:val="3"/>
        </w:numPr>
        <w:spacing w:after="70"/>
      </w:pPr>
      <w:r>
        <w:rPr>
          <w:rFonts w:ascii="Consolas" w:cs="Consolas" w:eastAsia="Consolas" w:hAnsi="Consolas"/>
          <w:b w:val="false"/>
          <w:bCs w:val="false"/>
          <w:i w:val="false"/>
          <w:iCs w:val="false"/>
          <w:sz w:val="20"/>
          <w:szCs w:val="20"/>
        </w:rPr>
        <w:t xml:space="preserve">audit_log</w:t>
      </w:r>
      <w:r>
        <w:rPr>
          <w:b w:val="false"/>
          <w:bCs w:val="false"/>
          <w:i w:val="false"/>
          <w:iCs w:val="false"/>
        </w:rPr>
        <w:t xml:space="preserve"> written on every mutation (who changed what, before/after)</w:t>
      </w:r>
    </w:p>
    <w:p>
      <w:pPr>
        <w:pStyle w:val="ListParagraph"/>
        <w:numPr>
          <w:ilvl w:val="0"/>
          <w:numId w:val="3"/>
        </w:numPr>
        <w:spacing w:after="70"/>
      </w:pPr>
      <w:r>
        <w:rPr>
          <w:b w:val="false"/>
          <w:bCs w:val="false"/>
          <w:i w:val="false"/>
          <w:iCs w:val="false"/>
        </w:rPr>
        <w:t xml:space="preserve">Sentry + uptime monitoring</w:t>
      </w:r>
    </w:p>
    <w:p>
      <w:pPr>
        <w:pStyle w:val="ListParagraph"/>
        <w:numPr>
          <w:ilvl w:val="0"/>
          <w:numId w:val="3"/>
        </w:numPr>
        <w:spacing w:after="70"/>
      </w:pPr>
      <w:r>
        <w:rPr>
          <w:b w:val="false"/>
          <w:bCs w:val="false"/>
          <w:i w:val="false"/>
          <w:iCs w:val="false"/>
        </w:rPr>
        <w:t xml:space="preserve">Rate limiting (Upstash) on all AI endpoints</w:t>
      </w:r>
    </w:p>
    <w:p>
      <w:pPr>
        <w:pStyle w:val="ListParagraph"/>
        <w:numPr>
          <w:ilvl w:val="0"/>
          <w:numId w:val="3"/>
        </w:numPr>
        <w:spacing w:after="70"/>
      </w:pPr>
      <w:r>
        <w:rPr>
          <w:b/>
          <w:bCs/>
          <w:i w:val="false"/>
          <w:iCs w:val="false"/>
        </w:rPr>
        <w:t xml:space="preserve">Anthropic cost caps + per-org metering</w:t>
      </w:r>
      <w:r>
        <w:rPr>
          <w:b w:val="false"/>
          <w:bCs w:val="false"/>
          <w:i w:val="false"/>
          <w:iCs w:val="false"/>
        </w:rPr>
        <w:t xml:space="preserve"> via api_usage — unbounded AI spend is a real risk</w:t>
      </w:r>
    </w:p>
    <w:p>
      <w:pPr>
        <w:pStyle w:val="ListParagraph"/>
        <w:numPr>
          <w:ilvl w:val="0"/>
          <w:numId w:val="3"/>
        </w:numPr>
        <w:spacing w:after="70"/>
      </w:pPr>
      <w:r>
        <w:rPr>
          <w:b w:val="false"/>
          <w:bCs w:val="false"/>
          <w:i w:val="false"/>
          <w:iCs w:val="false"/>
        </w:rPr>
        <w:t xml:space="preserve">Secrets in Vercel env only; rotate the demo password out of the cookie (it currently is the cookie)</w:t>
      </w:r>
    </w:p>
    <w:p>
      <w:pPr>
        <w:pStyle w:val="ListParagraph"/>
        <w:numPr>
          <w:ilvl w:val="0"/>
          <w:numId w:val="3"/>
        </w:numPr>
        <w:spacing w:after="70"/>
      </w:pPr>
      <w:r>
        <w:rPr>
          <w:b w:val="false"/>
          <w:bCs w:val="false"/>
          <w:i w:val="false"/>
          <w:iCs w:val="false"/>
        </w:rPr>
        <w:t xml:space="preserve">Automated backups + a tested restore</w:t>
      </w:r>
    </w:p>
    <w:p>
      <w:pPr>
        <w:pStyle w:val="ListParagraph"/>
        <w:numPr>
          <w:ilvl w:val="0"/>
          <w:numId w:val="3"/>
        </w:numPr>
        <w:spacing w:after="70"/>
      </w:pPr>
      <w:r>
        <w:rPr>
          <w:b w:val="false"/>
          <w:bCs w:val="false"/>
          <w:i w:val="false"/>
          <w:iCs w:val="false"/>
        </w:rPr>
        <w:t xml:space="preserve">SOC 2 readiness path (policies, access reviews) — ask early, sold late</w:t>
      </w:r>
    </w:p>
    <w:p>
      <w:pPr>
        <w:pStyle w:val="Heading1"/>
      </w:pPr>
      <w:r>
        <w:t xml:space="preserve">10. Sequencing</w:t>
      </w:r>
    </w:p>
    <w:p>
      <w:pPr>
        <w:spacing w:after="140"/>
      </w:pPr>
      <w:r>
        <w:rPr>
          <w:b w:val="false"/>
          <w:bCs w:val="false"/>
          <w:i w:val="false"/>
          <w:iCs w:val="false"/>
        </w:rPr>
        <w:t xml:space="preserve">Five chunks, each independently shippable with a hard exit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tcBorders>
              <w:top w:val="single" w:color="C9D1DF" w:sz="1"/>
              <w:left w:val="single" w:color="C9D1DF" w:sz="1"/>
              <w:bottom w:val="single" w:color="C9D1DF" w:sz="1"/>
              <w:right w:val="single" w:color="C9D1DF" w:sz="1"/>
            </w:tcBorders>
            <w:shd w:fill="E9EEF7" w:val="clear"/>
            <w:tcMar>
              <w:top w:type="dxa" w:w="90"/>
              <w:left w:type="dxa" w:w="130"/>
              <w:bottom w:type="dxa" w:w="90"/>
              <w:right w:type="dxa" w:w="130"/>
            </w:tcMar>
          </w:tcPr>
          <w:p>
            <w:r>
              <w:rPr>
                <w:b/>
                <w:bCs/>
                <w:color w:val="2B3A55"/>
                <w:sz w:val="18"/>
                <w:szCs w:val="18"/>
              </w:rPr>
              <w:t xml:space="preserve">#</w:t>
            </w:r>
          </w:p>
        </w:tc>
        <w:tc>
          <w:tcPr>
            <w:tcW w:type="dxa" w:w="4200"/>
            <w:tcBorders>
              <w:top w:val="single" w:color="C9D1DF" w:sz="1"/>
              <w:left w:val="single" w:color="C9D1DF" w:sz="1"/>
              <w:bottom w:val="single" w:color="C9D1DF" w:sz="1"/>
              <w:right w:val="single" w:color="C9D1DF" w:sz="1"/>
            </w:tcBorders>
            <w:shd w:fill="E9EEF7" w:val="clear"/>
            <w:tcMar>
              <w:top w:type="dxa" w:w="90"/>
              <w:left w:type="dxa" w:w="130"/>
              <w:bottom w:type="dxa" w:w="90"/>
              <w:right w:type="dxa" w:w="130"/>
            </w:tcMar>
          </w:tcPr>
          <w:p>
            <w:r>
              <w:rPr>
                <w:b/>
                <w:bCs/>
                <w:color w:val="2B3A55"/>
                <w:sz w:val="18"/>
                <w:szCs w:val="18"/>
              </w:rPr>
              <w:t xml:space="preserve">Chunk</w:t>
            </w:r>
          </w:p>
        </w:tc>
        <w:tc>
          <w:tcPr>
            <w:tcW w:type="dxa" w:w="4660"/>
            <w:tcBorders>
              <w:top w:val="single" w:color="C9D1DF" w:sz="1"/>
              <w:left w:val="single" w:color="C9D1DF" w:sz="1"/>
              <w:bottom w:val="single" w:color="C9D1DF" w:sz="1"/>
              <w:right w:val="single" w:color="C9D1DF" w:sz="1"/>
            </w:tcBorders>
            <w:shd w:fill="E9EEF7" w:val="clear"/>
            <w:tcMar>
              <w:top w:type="dxa" w:w="90"/>
              <w:left w:type="dxa" w:w="130"/>
              <w:bottom w:type="dxa" w:w="90"/>
              <w:right w:type="dxa" w:w="130"/>
            </w:tcMar>
          </w:tcPr>
          <w:p>
            <w:r>
              <w:rPr>
                <w:b/>
                <w:bCs/>
                <w:color w:val="2B3A55"/>
                <w:sz w:val="18"/>
                <w:szCs w:val="18"/>
              </w:rPr>
              <w:t xml:space="preserve">Exit criterion</w:t>
            </w:r>
          </w:p>
        </w:tc>
      </w:tr>
      <w:tr>
        <w:tc>
          <w:tcPr>
            <w:tcW w:type="dxa" w:w="5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1</w:t>
            </w:r>
          </w:p>
        </w:tc>
        <w:tc>
          <w:tcPr>
            <w:tcW w:type="dxa" w:w="42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bCs/>
                <w:i w:val="false"/>
                <w:iCs w:val="false"/>
                <w:color w:val="0E1520"/>
                <w:sz w:val="20"/>
                <w:szCs w:val="20"/>
              </w:rPr>
              <w:t xml:space="preserve">Foundation</w:t>
            </w:r>
            <w:r>
              <w:rPr>
                <w:b w:val="false"/>
                <w:bCs w:val="false"/>
                <w:i w:val="false"/>
                <w:iCs w:val="false"/>
                <w:color w:val="0E1520"/>
                <w:sz w:val="20"/>
                <w:szCs w:val="20"/>
              </w:rPr>
              <w:t xml:space="preserve"> — Neon + Drizzle, Clerk auth, orgs/memberships, server-enforced roles, seeded demo org, /api/bootstrap; strip clientMode from production paths</w:t>
            </w:r>
          </w:p>
        </w:tc>
        <w:tc>
          <w:tcPr>
            <w:tcW w:type="dxa" w:w="466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Two orgs exist; demo org renders identically to today; clientMode appears nowhere outside the demo seed; a Procurement user cannot reach an Analyst-only route server-side</w:t>
            </w:r>
          </w:p>
        </w:tc>
      </w:tr>
      <w:tr>
        <w:tc>
          <w:tcPr>
            <w:tcW w:type="dxa" w:w="50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2</w:t>
            </w:r>
          </w:p>
        </w:tc>
        <w:tc>
          <w:tcPr>
            <w:tcW w:type="dxa" w:w="420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bCs/>
                <w:i w:val="false"/>
                <w:iCs w:val="false"/>
                <w:color w:val="0E1520"/>
                <w:sz w:val="20"/>
                <w:szCs w:val="20"/>
              </w:rPr>
              <w:t xml:space="preserve">Ingestion + ER</w:t>
            </w:r>
            <w:r>
              <w:rPr>
                <w:b w:val="false"/>
                <w:bCs w:val="false"/>
                <w:i w:val="false"/>
                <w:iCs w:val="false"/>
                <w:color w:val="0E1520"/>
                <w:sz w:val="20"/>
                <w:szCs w:val="20"/>
              </w:rPr>
              <w:t xml:space="preserve"> — CSV upload, mapping, resolver (§4), review queue; delete lookup-supplier</w:t>
            </w:r>
          </w:p>
        </w:tc>
        <w:tc>
          <w:tcPr>
            <w:tcW w:type="dxa" w:w="466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A real 200+ row customer CSV imports; auto-match rate measured and reported; unmatched rows degrade gracefully</w:t>
            </w:r>
          </w:p>
        </w:tc>
      </w:tr>
      <w:tr>
        <w:tc>
          <w:tcPr>
            <w:tcW w:type="dxa" w:w="5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3</w:t>
            </w:r>
          </w:p>
        </w:tc>
        <w:tc>
          <w:tcPr>
            <w:tcW w:type="dxa" w:w="42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bCs/>
                <w:i w:val="false"/>
                <w:iCs w:val="false"/>
                <w:color w:val="0E1520"/>
                <w:sz w:val="20"/>
                <w:szCs w:val="20"/>
              </w:rPr>
              <w:t xml:space="preserve">Real intelligence</w:t>
            </w:r>
            <w:r>
              <w:rPr>
                <w:b w:val="false"/>
                <w:bCs w:val="false"/>
                <w:i w:val="false"/>
                <w:iCs w:val="false"/>
                <w:color w:val="0E1520"/>
                <w:sz w:val="20"/>
                <w:szCs w:val="20"/>
              </w:rPr>
              <w:t xml:space="preserve"> — persist enrichment, server-side scoring with inputs + score_version, persist AI outputs with review</w:t>
            </w:r>
          </w:p>
        </w:tc>
        <w:tc>
          <w:tcPr>
            <w:tcW w:type="dxa" w:w="466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Every score on screen traces to stored inputs; score history accumulates daily</w:t>
            </w:r>
          </w:p>
        </w:tc>
      </w:tr>
      <w:tr>
        <w:tc>
          <w:tcPr>
            <w:tcW w:type="dxa" w:w="50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4</w:t>
            </w:r>
          </w:p>
        </w:tc>
        <w:tc>
          <w:tcPr>
            <w:tcW w:type="dxa" w:w="420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bCs/>
                <w:i w:val="false"/>
                <w:iCs w:val="false"/>
                <w:color w:val="0E1520"/>
                <w:sz w:val="20"/>
                <w:szCs w:val="20"/>
              </w:rPr>
              <w:t xml:space="preserve">Alerts + jobs</w:t>
            </w:r>
            <w:r>
              <w:rPr>
                <w:b w:val="false"/>
                <w:bCs w:val="false"/>
                <w:i w:val="false"/>
                <w:iCs w:val="false"/>
                <w:color w:val="0E1520"/>
                <w:sz w:val="20"/>
                <w:szCs w:val="20"/>
              </w:rPr>
              <w:t xml:space="preserve"> — cron ingest, persisted event matches, email/Slack with dedupe</w:t>
            </w:r>
          </w:p>
        </w:tc>
        <w:tc>
          <w:tcPr>
            <w:tcW w:type="dxa" w:w="4660"/>
            <w:tcBorders>
              <w:top w:val="single" w:color="C9D1DF" w:sz="1"/>
              <w:left w:val="single" w:color="C9D1DF" w:sz="1"/>
              <w:bottom w:val="single" w:color="C9D1DF" w:sz="1"/>
              <w:right w:val="single" w:color="C9D1DF" w:sz="1"/>
            </w:tcBorders>
            <w:shd w:fill="FAFBFE" w:val="clear"/>
            <w:tcMar>
              <w:top w:type="dxa" w:w="90"/>
              <w:left w:type="dxa" w:w="130"/>
              <w:bottom w:type="dxa" w:w="90"/>
              <w:right w:type="dxa" w:w="130"/>
            </w:tcMar>
          </w:tcPr>
          <w:p>
            <w:r>
              <w:rPr>
                <w:b w:val="false"/>
                <w:bCs w:val="false"/>
                <w:i w:val="false"/>
                <w:iCs w:val="false"/>
                <w:color w:val="0E1520"/>
                <w:sz w:val="20"/>
                <w:szCs w:val="20"/>
              </w:rPr>
              <w:t xml:space="preserve">A real GDELT/USGS event matched to a real supplier arrives in an inbox once, not five times</w:t>
            </w:r>
          </w:p>
        </w:tc>
      </w:tr>
      <w:tr>
        <w:tc>
          <w:tcPr>
            <w:tcW w:type="dxa" w:w="5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5</w:t>
            </w:r>
          </w:p>
        </w:tc>
        <w:tc>
          <w:tcPr>
            <w:tcW w:type="dxa" w:w="420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bCs/>
                <w:i w:val="false"/>
                <w:iCs w:val="false"/>
                <w:color w:val="0E1520"/>
                <w:sz w:val="20"/>
                <w:szCs w:val="20"/>
              </w:rPr>
              <w:t xml:space="preserve">Hardening</w:t>
            </w:r>
            <w:r>
              <w:rPr>
                <w:b w:val="false"/>
                <w:bCs w:val="false"/>
                <w:i w:val="false"/>
                <w:iCs w:val="false"/>
                <w:color w:val="0E1520"/>
                <w:sz w:val="20"/>
                <w:szCs w:val="20"/>
              </w:rPr>
              <w:t xml:space="preserve"> — audit log, Sentry, rate limits, AI cost caps, backups</w:t>
            </w:r>
          </w:p>
        </w:tc>
        <w:tc>
          <w:tcPr>
            <w:tcW w:type="dxa" w:w="4660"/>
            <w:tcBorders>
              <w:top w:val="single" w:color="C9D1DF" w:sz="1"/>
              <w:left w:val="single" w:color="C9D1DF" w:sz="1"/>
              <w:bottom w:val="single" w:color="C9D1DF" w:sz="1"/>
              <w:right w:val="single" w:color="C9D1DF" w:sz="1"/>
            </w:tcBorders>
            <w:shd w:fill="FFFFFF" w:val="clear"/>
            <w:tcMar>
              <w:top w:type="dxa" w:w="90"/>
              <w:left w:type="dxa" w:w="130"/>
              <w:bottom w:type="dxa" w:w="90"/>
              <w:right w:type="dxa" w:w="130"/>
            </w:tcMar>
          </w:tcPr>
          <w:p>
            <w:r>
              <w:rPr>
                <w:b w:val="false"/>
                <w:bCs w:val="false"/>
                <w:i w:val="false"/>
                <w:iCs w:val="false"/>
                <w:color w:val="0E1520"/>
                <w:sz w:val="20"/>
                <w:szCs w:val="20"/>
              </w:rPr>
              <w:t xml:space="preserve">Every mutation audited; AI spend capped per org</w:t>
            </w:r>
          </w:p>
        </w:tc>
      </w:tr>
    </w:tbl>
    <w:p>
      <w:pPr>
        <w:spacing w:after="150"/>
      </w:pPr>
      <w:r>
        <w:t xml:space="preserve"/>
      </w:r>
    </w:p>
    <w:p>
      <w:pPr>
        <w:spacing w:after="140"/>
      </w:pPr>
      <w:r>
        <w:rPr>
          <w:b w:val="false"/>
          <w:bCs w:val="false"/>
          <w:i w:val="false"/>
          <w:iCs w:val="false"/>
        </w:rPr>
        <w:t xml:space="preserve">Chunks 1–2 are the MVP's spine. 3–4 are what make it worth paying for. 5 is what makes it sellable to a company with a security review.</w:t>
      </w:r>
    </w:p>
    <w:p>
      <w:pPr>
        <w:pStyle w:val="Heading1"/>
      </w:pPr>
      <w:r>
        <w:t xml:space="preserve">11. Risks, ranked honestly</w:t>
      </w:r>
    </w:p>
    <w:p>
      <w:pPr>
        <w:pStyle w:val="ListParagraph"/>
        <w:numPr>
          <w:ilvl w:val="0"/>
          <w:numId w:val="2"/>
        </w:numPr>
        <w:spacing w:after="90"/>
      </w:pPr>
      <w:r>
        <w:rPr>
          <w:b/>
          <w:bCs/>
          <w:i w:val="false"/>
          <w:iCs w:val="false"/>
        </w:rPr>
        <w:t xml:space="preserve">Entity-resolution accuracy on real data (highest). </w:t>
      </w:r>
      <w:r>
        <w:rPr>
          <w:b w:val="false"/>
          <w:bCs w:val="false"/>
          <w:i w:val="false"/>
          <w:iCs w:val="false"/>
        </w:rPr>
        <w:t xml:space="preserve">The demo's credibility comes from pre-curated suppliers. If auto-match on a real list is poor, the human-review burden may exceed what a customer will tolerate. Mitigate: spike this first (§12).</w:t>
      </w:r>
    </w:p>
    <w:p>
      <w:pPr>
        <w:pStyle w:val="ListParagraph"/>
        <w:numPr>
          <w:ilvl w:val="0"/>
          <w:numId w:val="2"/>
        </w:numPr>
        <w:spacing w:after="90"/>
      </w:pPr>
      <w:r>
        <w:rPr>
          <w:b/>
          <w:bCs/>
          <w:i w:val="false"/>
          <w:iCs w:val="false"/>
        </w:rPr>
        <w:t xml:space="preserve">Enrichment coverage for private companies. </w:t>
      </w:r>
      <w:r>
        <w:rPr>
          <w:b w:val="false"/>
          <w:bCs w:val="false"/>
          <w:i w:val="false"/>
          <w:iCs w:val="false"/>
        </w:rPr>
        <w:t xml:space="preserve">Most industrial suppliers are private — not SEC filers, and frequently without an LEI. The demo conceals this because Meridian's suppliers are mostly real public companies (§4), so EDGAR looks near-universal when it isn't. Positioning risk as much as technical.</w:t>
      </w:r>
    </w:p>
    <w:p>
      <w:pPr>
        <w:pStyle w:val="ListParagraph"/>
        <w:numPr>
          <w:ilvl w:val="0"/>
          <w:numId w:val="2"/>
        </w:numPr>
        <w:spacing w:after="90"/>
      </w:pPr>
      <w:r>
        <w:rPr>
          <w:b/>
          <w:bCs/>
          <w:i w:val="false"/>
          <w:iCs w:val="false"/>
        </w:rPr>
        <w:t xml:space="preserve">lookup-supplier fabrication. </w:t>
      </w:r>
      <w:r>
        <w:rPr>
          <w:b w:val="false"/>
          <w:bCs w:val="false"/>
          <w:i w:val="false"/>
          <w:iCs w:val="false"/>
        </w:rPr>
        <w:t xml:space="preserve">Must be removed before any real customer sees it. It generates plausible fake financials about real companies.</w:t>
      </w:r>
    </w:p>
    <w:p>
      <w:pPr>
        <w:pStyle w:val="ListParagraph"/>
        <w:numPr>
          <w:ilvl w:val="0"/>
          <w:numId w:val="2"/>
        </w:numPr>
        <w:spacing w:after="90"/>
      </w:pPr>
      <w:r>
        <w:rPr>
          <w:b/>
          <w:bCs/>
          <w:i w:val="false"/>
          <w:iCs w:val="false"/>
        </w:rPr>
        <w:t xml:space="preserve">Reverting to dual client mode. </w:t>
      </w:r>
      <w:r>
        <w:rPr>
          <w:b w:val="false"/>
          <w:bCs w:val="false"/>
          <w:i w:val="false"/>
          <w:iCs w:val="false"/>
        </w:rPr>
        <w:t xml:space="preserve">A second design partner in another geography makes it tempting to re-add the mode you dropped (§1.1) — which means a second resolver path, a second fixture set, and compliance branching, all before the first path is proven. Treat a second geography as a post-MVP decision with its own estimate, not a configuration flag.</w:t>
      </w:r>
    </w:p>
    <w:p>
      <w:pPr>
        <w:pStyle w:val="ListParagraph"/>
        <w:numPr>
          <w:ilvl w:val="0"/>
          <w:numId w:val="2"/>
        </w:numPr>
        <w:spacing w:after="90"/>
      </w:pPr>
      <w:r>
        <w:rPr>
          <w:b/>
          <w:bCs/>
          <w:i w:val="false"/>
          <w:iCs w:val="false"/>
        </w:rPr>
        <w:t xml:space="preserve">Unbounded AI cost. </w:t>
      </w:r>
      <w:r>
        <w:rPr>
          <w:b w:val="false"/>
          <w:bCs w:val="false"/>
          <w:i w:val="false"/>
          <w:iCs w:val="false"/>
        </w:rPr>
        <w:t xml:space="preserve">Sub-tier discovery and chat are the only metered dependency; no caps today.</w:t>
      </w:r>
    </w:p>
    <w:p>
      <w:pPr>
        <w:pStyle w:val="ListParagraph"/>
        <w:numPr>
          <w:ilvl w:val="0"/>
          <w:numId w:val="2"/>
        </w:numPr>
        <w:spacing w:after="90"/>
      </w:pPr>
      <w:r>
        <w:rPr>
          <w:b/>
          <w:bCs/>
          <w:i w:val="false"/>
          <w:iCs w:val="false"/>
        </w:rPr>
        <w:t xml:space="preserve">Data licensing. </w:t>
      </w:r>
      <w:r>
        <w:rPr>
          <w:b w:val="false"/>
          <w:bCs w:val="false"/>
          <w:i w:val="false"/>
          <w:iCs w:val="false"/>
        </w:rPr>
        <w:t xml:space="preserve">If you later add D&amp;B/Everstream-class data, redistribution terms constrain what you can surface and export.</w:t>
      </w:r>
    </w:p>
    <w:p>
      <w:pPr>
        <w:pStyle w:val="ListParagraph"/>
        <w:numPr>
          <w:ilvl w:val="0"/>
          <w:numId w:val="2"/>
        </w:numPr>
        <w:spacing w:after="90"/>
      </w:pPr>
      <w:r>
        <w:rPr>
          <w:b/>
          <w:bCs/>
          <w:i w:val="false"/>
          <w:iCs w:val="false"/>
        </w:rPr>
        <w:t xml:space="preserve">GDPR — deferred, not dismissed. </w:t>
      </w:r>
      <w:r>
        <w:rPr>
          <w:b w:val="false"/>
          <w:bCs w:val="false"/>
          <w:i w:val="false"/>
          <w:iCs w:val="false"/>
        </w:rPr>
        <w:t xml:space="preserve">On the US path (§1.1) this is not a launch blocker, and CCPA/CPRA applies lightly to B2B contact data. It becomes a blocker the moment you take a European customer or store EU supplier contacts, so keep the schema deletion-friendly now (cascade paths, no personal data inside append-only snapshots) to avoid a painful retrofit later.</w:t>
      </w:r>
    </w:p>
    <w:p>
      <w:pPr>
        <w:pStyle w:val="Heading1"/>
      </w:pPr>
      <w:r>
        <w:t xml:space="preserve">12. What I'd do first — a one-week de-risking spike</w:t>
      </w:r>
    </w:p>
    <w:p>
      <w:pPr>
        <w:spacing w:after="140"/>
      </w:pPr>
      <w:r>
        <w:rPr>
          <w:b w:val="false"/>
          <w:bCs w:val="false"/>
          <w:i w:val="false"/>
          <w:iCs w:val="false"/>
        </w:rPr>
        <w:t xml:space="preserve">Before writing any schema, resolve risk #1:</w:t>
      </w:r>
    </w:p>
    <w:p>
      <w:pPr>
        <w:pStyle w:val="ListParagraph"/>
        <w:numPr>
          <w:ilvl w:val="0"/>
          <w:numId w:val="2"/>
        </w:numPr>
        <w:spacing w:after="90"/>
      </w:pPr>
      <w:r>
        <w:rPr>
          <w:b w:val="false"/>
          <w:bCs w:val="false"/>
          <w:i w:val="false"/>
          <w:iCs w:val="false"/>
        </w:rPr>
        <w:t xml:space="preserve">Get a real </w:t>
      </w:r>
      <w:r>
        <w:rPr>
          <w:b/>
          <w:bCs/>
          <w:i w:val="false"/>
          <w:iCs w:val="false"/>
        </w:rPr>
        <w:t xml:space="preserve">US</w:t>
      </w:r>
      <w:r>
        <w:rPr>
          <w:b w:val="false"/>
          <w:bCs w:val="false"/>
          <w:i w:val="false"/>
          <w:iCs w:val="false"/>
        </w:rPr>
        <w:t xml:space="preserve"> supplier list from a design partner (or assemble a realistic 300-row set). Weight it the way a real one is: </w:t>
      </w:r>
      <w:r>
        <w:rPr>
          <w:b/>
          <w:bCs/>
          <w:i w:val="false"/>
          <w:iCs w:val="false"/>
        </w:rPr>
        <w:t xml:space="preserve">mostly private</w:t>
      </w:r>
      <w:r>
        <w:rPr>
          <w:b w:val="false"/>
          <w:bCs w:val="false"/>
          <w:i w:val="false"/>
          <w:iCs w:val="false"/>
        </w:rPr>
        <w:t xml:space="preserve"> — machine shops, distributors, regional fabricators — with messy names (abbreviations, punctuation, DBA/division suffixes). Do not test against a public-company-heavy mix like the demo's; that yields a flattering and useless match rate.</w:t>
      </w:r>
    </w:p>
    <w:p>
      <w:pPr>
        <w:pStyle w:val="ListParagraph"/>
        <w:numPr>
          <w:ilvl w:val="0"/>
          <w:numId w:val="2"/>
        </w:numPr>
        <w:spacing w:after="90"/>
      </w:pPr>
      <w:r>
        <w:rPr>
          <w:b w:val="false"/>
          <w:bCs w:val="false"/>
          <w:i w:val="false"/>
          <w:iCs w:val="false"/>
        </w:rPr>
        <w:t xml:space="preserve">Build the resolver as a </w:t>
      </w:r>
      <w:r>
        <w:rPr>
          <w:b/>
          <w:bCs/>
          <w:i w:val="false"/>
          <w:iCs w:val="false"/>
        </w:rPr>
        <w:t xml:space="preserve">standalone script</w:t>
      </w:r>
      <w:r>
        <w:rPr>
          <w:b w:val="false"/>
          <w:bCs w:val="false"/>
          <w:i w:val="false"/>
          <w:iCs w:val="false"/>
        </w:rPr>
        <w:t xml:space="preserve"> — no UI, no DB. Normalize → SEC + GLEIF → score → emit a match-rate distribution by confidence band, </w:t>
      </w:r>
      <w:r>
        <w:rPr>
          <w:b/>
          <w:bCs/>
          <w:i w:val="false"/>
          <w:iCs w:val="false"/>
        </w:rPr>
        <w:t xml:space="preserve">split by public vs private</w:t>
      </w:r>
      <w:r>
        <w:rPr>
          <w:b w:val="false"/>
          <w:bCs w:val="false"/>
          <w:i w:val="false"/>
          <w:iCs w:val="false"/>
        </w:rPr>
        <w:t xml:space="preserve">. The private-only number is the one that matters.</w:t>
      </w:r>
    </w:p>
    <w:p>
      <w:pPr>
        <w:pStyle w:val="ListParagraph"/>
        <w:numPr>
          <w:ilvl w:val="0"/>
          <w:numId w:val="2"/>
        </w:numPr>
        <w:spacing w:after="90"/>
      </w:pPr>
      <w:r>
        <w:rPr>
          <w:b/>
          <w:bCs/>
          <w:i w:val="false"/>
          <w:iCs w:val="false"/>
        </w:rPr>
        <w:t xml:space="preserve">Decision gate: </w:t>
      </w:r>
      <w:r>
        <w:rPr>
          <w:b w:val="false"/>
          <w:bCs w:val="false"/>
          <w:i w:val="false"/>
          <w:iCs w:val="false"/>
        </w:rPr>
        <w:t xml:space="preserve">if auto-match at ≥0.92 lands below ~60% on realistic data, the product needs more human-in-the-loop design (or paid data) before you build the surrounding app — not after.</w:t>
      </w:r>
    </w:p>
    <w:p>
      <w:pPr>
        <w:pBdr>
          <w:top w:val="single" w:color="E3E8F1" w:sz="2" w:space="6"/>
          <w:bottom w:val="single" w:color="E3E8F1" w:sz="2" w:space="6"/>
          <w:left w:val="single" w:color="1246A0" w:sz="18" w:space="8"/>
          <w:right w:val="single" w:color="E3E8F1" w:sz="2" w:space="6"/>
        </w:pBdr>
        <w:shd w:fill="EEF3FB" w:val="clear"/>
        <w:spacing w:after="200" w:before="60"/>
      </w:pPr>
      <w:r>
        <w:rPr>
          <w:b/>
          <w:bCs/>
          <w:i w:val="false"/>
          <w:iCs w:val="false"/>
        </w:rPr>
        <w:t xml:space="preserve">Everything else in this plan is conventional engineering with known cost. </w:t>
      </w:r>
      <w:r>
        <w:rPr>
          <w:b w:val="false"/>
          <w:bCs w:val="false"/>
          <w:i w:val="false"/>
          <w:iCs w:val="false"/>
        </w:rPr>
        <w:t xml:space="preserve">This is the one place the answer is genuinely unknown, so it should be measured first and cheaply.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onsolas" w:cs="Consolas" w:eastAsia="Consolas" w:hAnsi="Consolas"/>
        <w:color w:val="5B6B87"/>
        <w:sz w:val="16"/>
        <w:szCs w:val="16"/>
      </w:rPr>
      <w:t xml:space="preserve">plan @ 0fc9956 · codebase @ 131b1b3</w:t>
    </w:r>
    <w:r>
      <w:rPr>
        <w:sz w:val="16"/>
        <w:szCs w:val="16"/>
      </w:rPr>
      <w:t xml:space="preserve">	</w:t>
    </w:r>
    <w:r>
      <w:rPr>
        <w:color w:val="5B6B8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E" w:sz="2" w:space="4"/>
      </w:pBdr>
      <w:tabs>
        <w:tab w:val="right" w:pos="9026"/>
      </w:tabs>
    </w:pPr>
    <w:r>
      <w:rPr>
        <w:color w:val="5B6B87"/>
        <w:sz w:val="17"/>
        <w:szCs w:val="17"/>
      </w:rPr>
      <w:t xml:space="preserve">Chain Verity — MVP Build Plan</w:t>
    </w:r>
    <w:r>
      <w:rPr>
        <w:color w:val="5B6B87"/>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5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DEEC" w:sz="4" w:space="5"/>
      </w:pBdr>
      <w:spacing w:after="150" w:before="340"/>
      <w:outlineLvl w:val="0"/>
    </w:pPr>
    <w:rPr>
      <w:rFonts w:ascii="Calibri" w:cs="Calibri" w:eastAsia="Calibri" w:hAnsi="Calibri"/>
      <w:b/>
      <w:bCs/>
      <w:color w:val="0E1520"/>
      <w:sz w:val="30"/>
      <w:szCs w:val="30"/>
    </w:rPr>
  </w:style>
  <w:style w:type="paragraph" w:styleId="Heading2">
    <w:name w:val="Heading 2"/>
    <w:basedOn w:val="Normal"/>
    <w:next w:val="Normal"/>
    <w:qFormat/>
    <w:pPr>
      <w:spacing w:after="110" w:before="240"/>
      <w:outlineLvl w:val="1"/>
    </w:pPr>
    <w:rPr>
      <w:rFonts w:ascii="Calibri" w:cs="Calibri" w:eastAsia="Calibri" w:hAnsi="Calibri"/>
      <w:b/>
      <w:bCs/>
      <w:color w:val="27364F"/>
      <w:sz w:val="24"/>
      <w:szCs w:val="24"/>
    </w:rPr>
  </w:style>
  <w:style w:type="paragraph" w:styleId="Heading3">
    <w:name w:val="Heading 3"/>
    <w:basedOn w:val="Normal"/>
    <w:next w:val="Normal"/>
    <w:qFormat/>
    <w:pPr>
      <w:spacing w:after="90" w:before="180"/>
      <w:outlineLvl w:val="2"/>
    </w:pPr>
    <w:rPr>
      <w:rFonts w:ascii="Calibri" w:cs="Calibri" w:eastAsia="Calibri" w:hAnsi="Calibri"/>
      <w:b/>
      <w:bCs/>
      <w:color w:val="5B6B8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2026-08-10T01:37:48.412Z</dcterms:created>
  <dcterms:modified xsi:type="dcterms:W3CDTF">2026-08-10T01:37:48.413Z</dcterms:modified>
</cp:coreProperties>
</file>

<file path=docProps/custom.xml><?xml version="1.0" encoding="utf-8"?>
<Properties xmlns="http://schemas.openxmlformats.org/officeDocument/2006/custom-properties" xmlns:vt="http://schemas.openxmlformats.org/officeDocument/2006/docPropsVTypes"/>
</file>