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246A0"/>
          <w:sz w:val="20"/>
          <w:szCs w:val="20"/>
        </w:rPr>
        <w:t xml:space="preserve">CHAIN VERITY</w:t>
      </w:r>
    </w:p>
    <w:p>
      <w:pPr>
        <w:spacing w:after="100"/>
      </w:pPr>
      <w:r>
        <w:rPr>
          <w:b/>
          <w:bCs/>
          <w:color w:val="0E1520"/>
          <w:sz w:val="52"/>
          <w:szCs w:val="52"/>
        </w:rPr>
        <w:t xml:space="preserve">Technical Brief</w:t>
      </w:r>
    </w:p>
    <w:p>
      <w:pPr>
        <w:spacing w:after="40"/>
      </w:pPr>
      <w:r>
        <w:rPr>
          <w:color w:val="5B6B87"/>
          <w:sz w:val="24"/>
          <w:szCs w:val="24"/>
        </w:rPr>
        <w:t xml:space="preserve">Handoff document for an incoming CTO / technical lead</w:t>
      </w:r>
    </w:p>
    <w:p>
      <w:pPr>
        <w:pBdr>
          <w:bottom w:val="single" w:color="1246A0" w:sz="6" w:space="6"/>
        </w:pBdr>
        <w:spacing w:after="260"/>
      </w:pPr>
      <w:r>
        <w:rPr>
          <w:color w:val="5B6B87"/>
          <w:sz w:val="20"/>
          <w:szCs w:val="20"/>
        </w:rPr>
        <w:t xml:space="preserve">Written against commit </w:t>
      </w:r>
      <w:r>
        <w:rPr>
          <w:rFonts w:ascii="Consolas" w:cs="Consolas" w:eastAsia="Consolas" w:hAnsi="Consolas"/>
          <w:color w:val="5B6B87"/>
          <w:sz w:val="19"/>
          <w:szCs w:val="19"/>
        </w:rPr>
        <w:t xml:space="preserve">131b1b3</w:t>
      </w:r>
      <w:r>
        <w:rPr>
          <w:color w:val="5B6B87"/>
          <w:sz w:val="20"/>
          <w:szCs w:val="20"/>
        </w:rPr>
        <w:t xml:space="preserve">  ·  ~21,000 lines of TypeScript  ·  49 commits</w:t>
      </w:r>
    </w:p>
    <w:p>
      <w:pPr>
        <w:pBdr>
          <w:top w:val="single" w:color="E3E8F1" w:sz="2" w:space="6"/>
          <w:bottom w:val="single" w:color="E3E8F1" w:sz="2" w:space="6"/>
          <w:left w:val="single" w:color="B3261E" w:sz="18" w:space="8"/>
          <w:right w:val="single" w:color="E3E8F1" w:sz="2" w:space="6"/>
        </w:pBdr>
        <w:shd w:fill="FFF4F2" w:val="clear"/>
        <w:spacing w:after="200" w:before="60"/>
      </w:pPr>
      <w:r>
        <w:rPr>
          <w:b/>
          <w:bCs/>
          <w:i w:val="false"/>
          <w:iCs w:val="false"/>
        </w:rPr>
        <w:t xml:space="preserve">Read this first. </w:t>
      </w:r>
      <w:r>
        <w:rPr>
          <w:b w:val="false"/>
          <w:bCs w:val="false"/>
          <w:i w:val="false"/>
          <w:iCs w:val="false"/>
        </w:rPr>
        <w:t xml:space="preserve">Chain Verity today is a high-fidelity demo, not a product. The UI and the external-data enrichment layer are real and working. There is no database, no real authentication, and no per-user persistence. Section 4 lists exactly which surfaces are simulated. Nothing in this document overstates what exists — please verify any claim that matters to you, and see Section 9 for the honest liabilities.</w:t>
      </w:r>
    </w:p>
    <w:p>
      <w:pPr>
        <w:pStyle w:val="Heading1"/>
      </w:pPr>
      <w:r>
        <w:t xml:space="preserve">1.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4760"/>
      </w:tblGrid>
      <w:tr>
        <w:trPr>
          <w:tblHeader/>
        </w:trPr>
        <w:tc>
          <w:tcPr>
            <w:tcW w:type="dxa" w:w="15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E9EE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B3A55"/>
                <w:sz w:val="18"/>
                <w:szCs w:val="18"/>
              </w:rPr>
              <w:t xml:space="preserve">Layer</w:t>
            </w:r>
          </w:p>
        </w:tc>
        <w:tc>
          <w:tcPr>
            <w:tcW w:type="dxa" w:w="31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E9EE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B3A55"/>
                <w:sz w:val="18"/>
                <w:szCs w:val="18"/>
              </w:rPr>
              <w:t xml:space="preserve">Choice</w:t>
            </w:r>
          </w:p>
        </w:tc>
        <w:tc>
          <w:tcPr>
            <w:tcW w:type="dxa" w:w="476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E9EE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B3A55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Framework</w:t>
            </w:r>
          </w:p>
        </w:tc>
        <w:tc>
          <w:tcPr>
            <w:tcW w:type="dxa" w:w="31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i w:val="false"/>
                <w:iCs w:val="false"/>
                <w:color w:val="0E1520"/>
                <w:sz w:val="20"/>
                <w:szCs w:val="20"/>
              </w:rPr>
              <w:t xml:space="preserve">Next.js 16.2.6 (App Router)</w:t>
            </w:r>
          </w:p>
        </w:tc>
        <w:tc>
          <w:tcPr>
            <w:tcW w:type="dxa" w:w="476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Not the Next.js most engineers know — see AGENTS.md; read node_modules/next/dist/docs/ before assuming API shapes</w:t>
            </w:r>
          </w:p>
        </w:tc>
      </w:tr>
      <w:tr>
        <w:tc>
          <w:tcPr>
            <w:tcW w:type="dxa" w:w="15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AFB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UI</w:t>
            </w:r>
          </w:p>
        </w:tc>
        <w:tc>
          <w:tcPr>
            <w:tcW w:type="dxa" w:w="31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AFB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i w:val="false"/>
                <w:iCs w:val="false"/>
                <w:color w:val="0E1520"/>
                <w:sz w:val="20"/>
                <w:szCs w:val="20"/>
              </w:rPr>
              <w:t xml:space="preserve">React 19.2.4</w:t>
            </w:r>
          </w:p>
        </w:tc>
        <w:tc>
          <w:tcPr>
            <w:tcW w:type="dxa" w:w="476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AFB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No component library. All styling is hand-written CSS with custom properties in src/app/globals.css</w:t>
            </w:r>
          </w:p>
        </w:tc>
      </w:tr>
      <w:tr>
        <w:tc>
          <w:tcPr>
            <w:tcW w:type="dxa" w:w="15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Language</w:t>
            </w:r>
          </w:p>
        </w:tc>
        <w:tc>
          <w:tcPr>
            <w:tcW w:type="dxa" w:w="31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TypeScript 5, strict</w:t>
            </w:r>
          </w:p>
        </w:tc>
        <w:tc>
          <w:tcPr>
            <w:tcW w:type="dxa" w:w="476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npx tsc --noEmit is clean</w:t>
            </w:r>
          </w:p>
        </w:tc>
      </w:tr>
      <w:tr>
        <w:tc>
          <w:tcPr>
            <w:tcW w:type="dxa" w:w="15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AFB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Styling</w:t>
            </w:r>
          </w:p>
        </w:tc>
        <w:tc>
          <w:tcPr>
            <w:tcW w:type="dxa" w:w="31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AFB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Tailwind 4 installed but effectively unused</w:t>
            </w:r>
          </w:p>
        </w:tc>
        <w:tc>
          <w:tcPr>
            <w:tcW w:type="dxa" w:w="476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AFB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Verified: the app is token-based CSS. Legacy dependency, safe to remove</w:t>
            </w:r>
          </w:p>
        </w:tc>
      </w:tr>
      <w:tr>
        <w:tc>
          <w:tcPr>
            <w:tcW w:type="dxa" w:w="15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Charts / maps</w:t>
            </w:r>
          </w:p>
        </w:tc>
        <w:tc>
          <w:tcPr>
            <w:tcW w:type="dxa" w:w="31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react-simple-maps 3, hand-rolled SVG + Canvas</w:t>
            </w:r>
          </w:p>
        </w:tc>
        <w:tc>
          <w:tcPr>
            <w:tcW w:type="dxa" w:w="476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No charting library</w:t>
            </w:r>
          </w:p>
        </w:tc>
      </w:tr>
      <w:tr>
        <w:tc>
          <w:tcPr>
            <w:tcW w:type="dxa" w:w="15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AFB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AI</w:t>
            </w:r>
          </w:p>
        </w:tc>
        <w:tc>
          <w:tcPr>
            <w:tcW w:type="dxa" w:w="31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AFB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@anthropic-ai/sdk ^0.98</w:t>
            </w:r>
          </w:p>
        </w:tc>
        <w:tc>
          <w:tcPr>
            <w:tcW w:type="dxa" w:w="476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AFB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Claude, via 5 API routes</w:t>
            </w:r>
          </w:p>
        </w:tc>
      </w:tr>
      <w:tr>
        <w:tc>
          <w:tcPr>
            <w:tcW w:type="dxa" w:w="15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Tests</w:t>
            </w:r>
          </w:p>
        </w:tc>
        <w:tc>
          <w:tcPr>
            <w:tcW w:type="dxa" w:w="31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i w:val="false"/>
                <w:iCs w:val="false"/>
                <w:color w:val="0E1520"/>
                <w:sz w:val="20"/>
                <w:szCs w:val="20"/>
              </w:rPr>
              <w:t xml:space="preserve">Vitest 4 — 66 tests, 1 file</w:t>
            </w:r>
          </w:p>
        </w:tc>
        <w:tc>
          <w:tcPr>
            <w:tcW w:type="dxa" w:w="476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Covers src/lib/analytics.ts only</w:t>
            </w:r>
          </w:p>
        </w:tc>
      </w:tr>
      <w:tr>
        <w:tc>
          <w:tcPr>
            <w:tcW w:type="dxa" w:w="15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AFB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Hosting</w:t>
            </w:r>
          </w:p>
        </w:tc>
        <w:tc>
          <w:tcPr>
            <w:tcW w:type="dxa" w:w="31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AFB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Vercel → demo.chainverity.ai</w:t>
            </w:r>
          </w:p>
        </w:tc>
        <w:tc>
          <w:tcPr>
            <w:tcW w:type="dxa" w:w="476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AFB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vercel.json pins framework + build only; no Node version pinned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/>
      </w:pPr>
      <w:r>
        <w:rPr>
          <w:b/>
          <w:bCs/>
          <w:i w:val="false"/>
          <w:iCs w:val="false"/>
        </w:rPr>
        <w:t xml:space="preserve">There is no backend of our own</w:t>
      </w:r>
      <w:r>
        <w:rPr>
          <w:b w:val="false"/>
          <w:bCs w:val="false"/>
          <w:i w:val="false"/>
          <w:iCs w:val="false"/>
        </w:rPr>
        <w:t xml:space="preserve"> — no database, ORM, queue, or cache. Server-side code is entirely Next.js route handlers proxying third-party APIs.</w:t>
      </w:r>
    </w:p>
    <w:p>
      <w:pPr>
        <w:pStyle w:val="Heading1"/>
      </w:pPr>
      <w:r>
        <w:t xml:space="preserve">2. Code layout</w:t>
      </w:r>
    </w:p>
    <w:p>
      <w:pPr>
        <w:shd w:fill="F1F4FA" w:val="clear"/>
        <w:spacing w:after="0" w:before="40"/>
        <w:ind w:left="170"/>
      </w:pPr>
      <w:r>
        <w:rPr>
          <w:rFonts w:ascii="Consolas" w:cs="Consolas" w:eastAsia="Consolas" w:hAnsi="Consolas"/>
          <w:color w:val="23324A"/>
          <w:sz w:val="18"/>
          <w:szCs w:val="18"/>
        </w:rPr>
        <w:t xml:space="preserve">src/</w:t>
      </w:r>
    </w:p>
    <w:p>
      <w:pPr>
        <w:shd w:fill="F1F4FA" w:val="clear"/>
        <w:spacing w:after="0" w:before="0"/>
        <w:ind w:left="170"/>
      </w:pPr>
      <w:r>
        <w:rPr>
          <w:rFonts w:ascii="Consolas" w:cs="Consolas" w:eastAsia="Consolas" w:hAnsi="Consolas"/>
          <w:color w:val="23324A"/>
          <w:sz w:val="18"/>
          <w:szCs w:val="18"/>
        </w:rPr>
        <w:t xml:space="preserve">  app/</w:t>
      </w:r>
    </w:p>
    <w:p>
      <w:pPr>
        <w:shd w:fill="F1F4FA" w:val="clear"/>
        <w:spacing w:after="0" w:before="0"/>
        <w:ind w:left="170"/>
      </w:pPr>
      <w:r>
        <w:rPr>
          <w:rFonts w:ascii="Consolas" w:cs="Consolas" w:eastAsia="Consolas" w:hAnsi="Consolas"/>
          <w:color w:val="23324A"/>
          <w:sz w:val="18"/>
          <w:szCs w:val="18"/>
        </w:rPr>
        <w:t xml:space="preserve">    api/            18 route handlers (1,849 LOC) — the only server-side code</w:t>
      </w:r>
    </w:p>
    <w:p>
      <w:pPr>
        <w:shd w:fill="F1F4FA" w:val="clear"/>
        <w:spacing w:after="0" w:before="0"/>
        <w:ind w:left="170"/>
      </w:pPr>
      <w:r>
        <w:rPr>
          <w:rFonts w:ascii="Consolas" w:cs="Consolas" w:eastAsia="Consolas" w:hAnsi="Consolas"/>
          <w:color w:val="23324A"/>
          <w:sz w:val="18"/>
          <w:szCs w:val="18"/>
        </w:rPr>
        <w:t xml:space="preserve">    globals.css     design tokens + every component style (single stylesheet)</w:t>
      </w:r>
    </w:p>
    <w:p>
      <w:pPr>
        <w:shd w:fill="F1F4FA" w:val="clear"/>
        <w:spacing w:after="0" w:before="0"/>
        <w:ind w:left="170"/>
      </w:pPr>
      <w:r>
        <w:rPr>
          <w:rFonts w:ascii="Consolas" w:cs="Consolas" w:eastAsia="Consolas" w:hAnsi="Consolas"/>
          <w:color w:val="23324A"/>
          <w:sz w:val="18"/>
          <w:szCs w:val="18"/>
        </w:rPr>
        <w:t xml:space="preserve">    page.tsx        mounts ChainVerityApp</w:t>
      </w:r>
    </w:p>
    <w:p>
      <w:pPr>
        <w:shd w:fill="F1F4FA" w:val="clear"/>
        <w:spacing w:after="0" w:before="0"/>
        <w:ind w:left="170"/>
      </w:pPr>
      <w:r>
        <w:rPr>
          <w:rFonts w:ascii="Consolas" w:cs="Consolas" w:eastAsia="Consolas" w:hAnsi="Consolas"/>
          <w:color w:val="23324A"/>
          <w:sz w:val="18"/>
          <w:szCs w:val="18"/>
        </w:rPr>
        <w:t xml:space="preserve">  components/</w:t>
      </w:r>
    </w:p>
    <w:p>
      <w:pPr>
        <w:shd w:fill="F1F4FA" w:val="clear"/>
        <w:spacing w:after="0" w:before="0"/>
        <w:ind w:left="170"/>
      </w:pPr>
      <w:r>
        <w:rPr>
          <w:rFonts w:ascii="Consolas" w:cs="Consolas" w:eastAsia="Consolas" w:hAnsi="Consolas"/>
          <w:color w:val="23324A"/>
          <w:sz w:val="18"/>
          <w:szCs w:val="18"/>
        </w:rPr>
        <w:t xml:space="preserve">    views/          19 view components (12,781 LOC) — the bulk of the codebase</w:t>
      </w:r>
    </w:p>
    <w:p>
      <w:pPr>
        <w:shd w:fill="F1F4FA" w:val="clear"/>
        <w:spacing w:after="0" w:before="0"/>
        <w:ind w:left="170"/>
      </w:pPr>
      <w:r>
        <w:rPr>
          <w:rFonts w:ascii="Consolas" w:cs="Consolas" w:eastAsia="Consolas" w:hAnsi="Consolas"/>
          <w:color w:val="23324A"/>
          <w:sz w:val="18"/>
          <w:szCs w:val="18"/>
        </w:rPr>
        <w:t xml:space="preserve">    ui/             shared primitives: Card, Badge, Charts, InfoTip, ProvenanceChip (1,710)</w:t>
      </w:r>
    </w:p>
    <w:p>
      <w:pPr>
        <w:shd w:fill="F1F4FA" w:val="clear"/>
        <w:spacing w:after="0" w:before="0"/>
        <w:ind w:left="170"/>
      </w:pPr>
      <w:r>
        <w:rPr>
          <w:rFonts w:ascii="Consolas" w:cs="Consolas" w:eastAsia="Consolas" w:hAnsi="Consolas"/>
          <w:color w:val="23324A"/>
          <w:sz w:val="18"/>
          <w:szCs w:val="18"/>
        </w:rPr>
        <w:t xml:space="preserve">    layout/         Sidebar, Topbar, Modal (291)</w:t>
      </w:r>
    </w:p>
    <w:p>
      <w:pPr>
        <w:shd w:fill="F1F4FA" w:val="clear"/>
        <w:spacing w:after="0" w:before="0"/>
        <w:ind w:left="170"/>
      </w:pPr>
      <w:r>
        <w:rPr>
          <w:rFonts w:ascii="Consolas" w:cs="Consolas" w:eastAsia="Consolas" w:hAnsi="Consolas"/>
          <w:color w:val="23324A"/>
          <w:sz w:val="18"/>
          <w:szCs w:val="18"/>
        </w:rPr>
        <w:t xml:space="preserve">  context/          AppContext.tsx — single global store (384)</w:t>
      </w:r>
    </w:p>
    <w:p>
      <w:pPr>
        <w:shd w:fill="F1F4FA" w:val="clear"/>
        <w:spacing w:after="0" w:before="0"/>
        <w:ind w:left="170"/>
      </w:pPr>
      <w:r>
        <w:rPr>
          <w:rFonts w:ascii="Consolas" w:cs="Consolas" w:eastAsia="Consolas" w:hAnsi="Consolas"/>
          <w:color w:val="23324A"/>
          <w:sz w:val="18"/>
          <w:szCs w:val="18"/>
        </w:rPr>
        <w:t xml:space="preserve">  lib/</w:t>
      </w:r>
    </w:p>
    <w:p>
      <w:pPr>
        <w:shd w:fill="F1F4FA" w:val="clear"/>
        <w:spacing w:after="0" w:before="0"/>
        <w:ind w:left="170"/>
      </w:pPr>
      <w:r>
        <w:rPr>
          <w:rFonts w:ascii="Consolas" w:cs="Consolas" w:eastAsia="Consolas" w:hAnsi="Consolas"/>
          <w:color w:val="23324A"/>
          <w:sz w:val="18"/>
          <w:szCs w:val="18"/>
        </w:rPr>
        <w:t xml:space="preserve">    analytics.ts    scoring + derived metrics — the closest thing to proprietary IP</w:t>
      </w:r>
    </w:p>
    <w:p>
      <w:pPr>
        <w:shd w:fill="F1F4FA" w:val="clear"/>
        <w:spacing w:after="0" w:before="0"/>
        <w:ind w:left="170"/>
      </w:pPr>
      <w:r>
        <w:rPr>
          <w:rFonts w:ascii="Consolas" w:cs="Consolas" w:eastAsia="Consolas" w:hAnsi="Consolas"/>
          <w:color w:val="23324A"/>
          <w:sz w:val="18"/>
          <w:szCs w:val="18"/>
        </w:rPr>
        <w:t xml:space="preserve">    data/           2,099 LOC of hardcoded fixture data</w:t>
      </w:r>
    </w:p>
    <w:p>
      <w:pPr>
        <w:shd w:fill="F1F4FA" w:val="clear"/>
        <w:spacing w:after="0" w:before="0"/>
        <w:ind w:left="170"/>
      </w:pPr>
      <w:r>
        <w:rPr>
          <w:rFonts w:ascii="Consolas" w:cs="Consolas" w:eastAsia="Consolas" w:hAnsi="Consolas"/>
          <w:color w:val="23324A"/>
          <w:sz w:val="18"/>
          <w:szCs w:val="18"/>
        </w:rPr>
        <w:t xml:space="preserve">    roles.ts        route-level RBAC table</w:t>
      </w:r>
    </w:p>
    <w:p>
      <w:pPr>
        <w:shd w:fill="F1F4FA" w:val="clear"/>
        <w:spacing w:after="0" w:before="0"/>
        <w:ind w:left="170"/>
      </w:pPr>
      <w:r>
        <w:rPr>
          <w:rFonts w:ascii="Consolas" w:cs="Consolas" w:eastAsia="Consolas" w:hAnsi="Consolas"/>
          <w:color w:val="23324A"/>
          <w:sz w:val="18"/>
          <w:szCs w:val="18"/>
        </w:rPr>
        <w:t xml:space="preserve">  types/            index.ts — all domain types (462)</w:t>
      </w:r>
    </w:p>
    <w:p>
      <w:pPr>
        <w:shd w:fill="F1F4FA" w:val="clear"/>
        <w:spacing w:after="170" w:before="0"/>
        <w:ind w:left="170"/>
      </w:pPr>
      <w:r>
        <w:rPr>
          <w:rFonts w:ascii="Consolas" w:cs="Consolas" w:eastAsia="Consolas" w:hAnsi="Consolas"/>
          <w:color w:val="23324A"/>
          <w:sz w:val="18"/>
          <w:szCs w:val="18"/>
        </w:rPr>
        <w:t xml:space="preserve">middleware.ts       shared-password gate over the whole app</w:t>
      </w:r>
    </w:p>
    <w:p>
      <w:pPr>
        <w:spacing w:after="140"/>
      </w:pPr>
      <w:r>
        <w:rPr>
          <w:b/>
          <w:bCs/>
          <w:i w:val="false"/>
          <w:iCs w:val="false"/>
        </w:rPr>
        <w:t xml:space="preserve">Architectural fact worth knowing early: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AppContext.tsx:154–165</w:t>
      </w:r>
      <w:r>
        <w:rPr>
          <w:b w:val="false"/>
          <w:bCs w:val="false"/>
          <w:i w:val="false"/>
          <w:iCs w:val="false"/>
        </w:rPr>
        <w:t xml:space="preserve"> is eleven lines of clientMode ternaries. Every view consumes data through useApp() / useSuppliers(). That is the single seam between the UI and its data — replacing it with real queries is a contained change, not a rewrite. This is the most important thing to know before planning any backend work.</w:t>
      </w:r>
    </w:p>
    <w:p>
      <w:pPr>
        <w:pStyle w:val="Heading1"/>
      </w:pPr>
      <w:r>
        <w:t xml:space="preserve">3. What is genuinely real</w:t>
      </w:r>
    </w:p>
    <w:p>
      <w:pPr>
        <w:pStyle w:val="Heading2"/>
      </w:pPr>
      <w:r>
        <w:t xml:space="preserve">3.1  Live external data — 18 API routes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Keyless — no account, no cost, work anywhere: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760"/>
      </w:tblGrid>
      <w:tr>
        <w:trPr>
          <w:tblHeader/>
        </w:trPr>
        <w:tc>
          <w:tcPr>
            <w:tcW w:type="dxa" w:w="15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E9EE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B3A55"/>
                <w:sz w:val="18"/>
                <w:szCs w:val="18"/>
              </w:rPr>
              <w:t xml:space="preserve">Route</w:t>
            </w:r>
          </w:p>
        </w:tc>
        <w:tc>
          <w:tcPr>
            <w:tcW w:type="dxa" w:w="21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E9EE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B3A55"/>
                <w:sz w:val="18"/>
                <w:szCs w:val="18"/>
              </w:rPr>
              <w:t xml:space="preserve">Source</w:t>
            </w:r>
          </w:p>
        </w:tc>
        <w:tc>
          <w:tcPr>
            <w:tcW w:type="dxa" w:w="576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E9EE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B3A55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E1520"/>
                <w:sz w:val="18"/>
                <w:szCs w:val="18"/>
              </w:rPr>
              <w:t xml:space="preserve">edgar</w:t>
            </w:r>
          </w:p>
        </w:tc>
        <w:tc>
          <w:tcPr>
            <w:tcW w:type="dxa" w:w="21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SEC EDGAR</w:t>
            </w:r>
          </w:p>
        </w:tc>
        <w:tc>
          <w:tcPr>
            <w:tcW w:type="dxa" w:w="576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Real financials via XBRL companyfacts for US-listed suppliers</w:t>
            </w:r>
          </w:p>
        </w:tc>
      </w:tr>
      <w:tr>
        <w:tc>
          <w:tcPr>
            <w:tcW w:type="dxa" w:w="15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AFB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E1520"/>
                <w:sz w:val="18"/>
                <w:szCs w:val="18"/>
              </w:rPr>
              <w:t xml:space="preserve">gleif</w:t>
            </w:r>
          </w:p>
        </w:tc>
        <w:tc>
          <w:tcPr>
            <w:tcW w:type="dxa" w:w="21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AFB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GLEIF</w:t>
            </w:r>
          </w:p>
        </w:tc>
        <w:tc>
          <w:tcPr>
            <w:tcW w:type="dxa" w:w="576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AFB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Legal-entity lookup; fuzzy name → LEI with a scoring cascade</w:t>
            </w:r>
          </w:p>
        </w:tc>
      </w:tr>
      <w:tr>
        <w:tc>
          <w:tcPr>
            <w:tcW w:type="dxa" w:w="15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E1520"/>
                <w:sz w:val="18"/>
                <w:szCs w:val="18"/>
              </w:rPr>
              <w:t xml:space="preserve">usgs</w:t>
            </w:r>
          </w:p>
        </w:tc>
        <w:tc>
          <w:tcPr>
            <w:tcW w:type="dxa" w:w="21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USGS</w:t>
            </w:r>
          </w:p>
        </w:tc>
        <w:tc>
          <w:tcPr>
            <w:tcW w:type="dxa" w:w="576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Earthquakes, proximity-matched to supplier coordinates</w:t>
            </w:r>
          </w:p>
        </w:tc>
      </w:tr>
      <w:tr>
        <w:tc>
          <w:tcPr>
            <w:tcW w:type="dxa" w:w="15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AFB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E1520"/>
                <w:sz w:val="18"/>
                <w:szCs w:val="18"/>
              </w:rPr>
              <w:t xml:space="preserve">nws</w:t>
            </w:r>
          </w:p>
        </w:tc>
        <w:tc>
          <w:tcPr>
            <w:tcW w:type="dxa" w:w="21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AFB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NOAA / NWS</w:t>
            </w:r>
          </w:p>
        </w:tc>
        <w:tc>
          <w:tcPr>
            <w:tcW w:type="dxa" w:w="576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AFB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Active US severe-weather alerts, polygon-matched to sites</w:t>
            </w:r>
          </w:p>
        </w:tc>
      </w:tr>
      <w:tr>
        <w:tc>
          <w:tcPr>
            <w:tcW w:type="dxa" w:w="15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E1520"/>
                <w:sz w:val="18"/>
                <w:szCs w:val="18"/>
              </w:rPr>
              <w:t xml:space="preserve">gdelt</w:t>
            </w:r>
          </w:p>
        </w:tc>
        <w:tc>
          <w:tcPr>
            <w:tcW w:type="dxa" w:w="21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GDELT DOC 2.0</w:t>
            </w:r>
          </w:p>
        </w:tc>
        <w:tc>
          <w:tcPr>
            <w:tcW w:type="dxa" w:w="576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News events — sector feed plus ?q= per supplier</w:t>
            </w:r>
          </w:p>
        </w:tc>
      </w:tr>
      <w:tr>
        <w:tc>
          <w:tcPr>
            <w:tcW w:type="dxa" w:w="15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AFB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E1520"/>
                <w:sz w:val="18"/>
                <w:szCs w:val="18"/>
              </w:rPr>
              <w:t xml:space="preserve">eonet</w:t>
            </w:r>
          </w:p>
        </w:tc>
        <w:tc>
          <w:tcPr>
            <w:tcW w:type="dxa" w:w="21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AFB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NASA EONET</w:t>
            </w:r>
          </w:p>
        </w:tc>
        <w:tc>
          <w:tcPr>
            <w:tcW w:type="dxa" w:w="576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AFB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Natural-disaster events</w:t>
            </w:r>
          </w:p>
        </w:tc>
      </w:tr>
      <w:tr>
        <w:tc>
          <w:tcPr>
            <w:tcW w:type="dxa" w:w="15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E1520"/>
                <w:sz w:val="18"/>
                <w:szCs w:val="18"/>
              </w:rPr>
              <w:t xml:space="preserve">sanctions</w:t>
            </w:r>
          </w:p>
        </w:tc>
        <w:tc>
          <w:tcPr>
            <w:tcW w:type="dxa" w:w="21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OpenSanctions</w:t>
            </w:r>
          </w:p>
        </w:tc>
        <w:tc>
          <w:tcPr>
            <w:tcW w:type="dxa" w:w="576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Screening</w:t>
            </w:r>
          </w:p>
        </w:tc>
      </w:tr>
      <w:tr>
        <w:tc>
          <w:tcPr>
            <w:tcW w:type="dxa" w:w="15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AFB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E1520"/>
                <w:sz w:val="18"/>
                <w:szCs w:val="18"/>
              </w:rPr>
              <w:t xml:space="preserve">worldbank</w:t>
            </w:r>
          </w:p>
        </w:tc>
        <w:tc>
          <w:tcPr>
            <w:tcW w:type="dxa" w:w="21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AFB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World Bank</w:t>
            </w:r>
          </w:p>
        </w:tc>
        <w:tc>
          <w:tcPr>
            <w:tcW w:type="dxa" w:w="576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AFB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Country governance indicators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Keyed (free tiers; all four keys set in Vercel production):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fred</w:t>
      </w:r>
      <w:r>
        <w:rPr>
          <w:b w:val="false"/>
          <w:bCs w:val="false"/>
          <w:i w:val="false"/>
          <w:iCs w:val="false"/>
        </w:rPr>
        <w:t xml:space="preserve"> (FRED commodity series + frankfurter.app FX),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companies-house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comtrade</w:t>
      </w:r>
      <w:r>
        <w:rPr>
          <w:b w:val="false"/>
          <w:bCs w:val="false"/>
          <w:i w:val="false"/>
          <w:iCs w:val="false"/>
        </w:rPr>
        <w:t xml:space="preserve"> (with cached fallback),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weather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40"/>
      </w:pPr>
      <w:r>
        <w:rPr>
          <w:b/>
          <w:bCs/>
          <w:i w:val="false"/>
          <w:iCs w:val="false"/>
        </w:rPr>
        <w:t xml:space="preserve">AI (Anthropic — the only metered cost in the system):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chat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analyze-contract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discover-subtier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suggest-alternatives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lookup-supplier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Caching is per-route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export const revalidate = 900</w:t>
      </w:r>
      <w:r>
        <w:rPr>
          <w:b w:val="false"/>
          <w:bCs w:val="false"/>
          <w:i w:val="false"/>
          <w:iCs w:val="false"/>
        </w:rPr>
        <w:t xml:space="preserve"> (15 min). </w:t>
      </w:r>
      <w:r>
        <w:rPr>
          <w:b/>
          <w:bCs/>
          <w:i w:val="false"/>
          <w:iCs w:val="false"/>
        </w:rPr>
        <w:t xml:space="preserve">Nothing is persisted</w:t>
      </w:r>
      <w:r>
        <w:rPr>
          <w:b w:val="false"/>
          <w:bCs w:val="false"/>
          <w:i w:val="false"/>
          <w:iCs w:val="false"/>
        </w:rPr>
        <w:t xml:space="preserve"> — every figure is recomputed or refetched per request. Historical trends in the UI are synthesised from current values, not stored history.</w:t>
      </w:r>
    </w:p>
    <w:p>
      <w:pPr>
        <w:pStyle w:val="Heading2"/>
      </w:pPr>
      <w:r>
        <w:t xml:space="preserve">3.2  Proprietary logic — src/lib/analytics.ts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The only meaningfully defensible code. Pure functions, fully unit-tested (66 tests):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computeRisk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calcDPS</w:t>
      </w:r>
      <w:r>
        <w:rPr>
          <w:b w:val="false"/>
          <w:bCs w:val="false"/>
          <w:i w:val="false"/>
          <w:iCs w:val="false"/>
        </w:rPr>
        <w:t xml:space="preserve"> (disruption probability),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computeAltmanZ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computeResiliency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computeLeadTimeDrift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computeOnTime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runMC</w:t>
      </w:r>
      <w:r>
        <w:rPr>
          <w:b w:val="false"/>
          <w:bCs w:val="false"/>
          <w:i w:val="false"/>
          <w:iCs w:val="false"/>
        </w:rPr>
        <w:t xml:space="preserve"> (5,000-iteration Monte Carlo),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topDrivers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getRec</w:t>
      </w:r>
      <w:r>
        <w:rPr>
          <w:b w:val="false"/>
          <w:bCs w:val="false"/>
          <w:i w:val="false"/>
          <w:iCs w:val="false"/>
        </w:rPr>
        <w:t xml:space="preserve">. Currently runs client-side against fixture data; designed to be liftable to the server unchanged.</w:t>
      </w:r>
    </w:p>
    <w:p>
      <w:pPr>
        <w:pStyle w:val="Heading2"/>
      </w:pPr>
      <w:r>
        <w:t xml:space="preserve">3.3  Evidence provenance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Recent and load-bearing to the product thesis.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src/lib/data/provenance.ts</w:t>
      </w:r>
      <w:r>
        <w:rPr>
          <w:b w:val="false"/>
          <w:bCs w:val="false"/>
          <w:i w:val="false"/>
          <w:iCs w:val="false"/>
        </w:rPr>
        <w:t xml:space="preserve"> grades every supplier verified / corroborated / inferred / unenriched, and the UI refuses to show scores or financials for unenriched suppliers rather than inventing them. Surfaced via ProvenanceChip in the register, supplier detail, sub-tier map, and the import review queue.</w:t>
      </w:r>
    </w:p>
    <w:p>
      <w:pPr>
        <w:pStyle w:val="Heading1"/>
      </w:pPr>
      <w:r>
        <w:t xml:space="preserve">4. What is simulated — read before demoing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E9EE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B3A55"/>
                <w:sz w:val="18"/>
                <w:szCs w:val="18"/>
              </w:rPr>
              <w:t xml:space="preserve">Surface</w:t>
            </w:r>
          </w:p>
        </w:tc>
        <w:tc>
          <w:tcPr>
            <w:tcW w:type="dxa" w:w="616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E9EE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B3A55"/>
                <w:sz w:val="18"/>
                <w:szCs w:val="18"/>
              </w:rPr>
              <w:t xml:space="preserve">Reality</w:t>
            </w:r>
          </w:p>
        </w:tc>
      </w:tr>
      <w:tr>
        <w:tc>
          <w:tcPr>
            <w:tcW w:type="dxa" w:w="32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i w:val="false"/>
                <w:iCs w:val="false"/>
                <w:color w:val="0E1520"/>
                <w:sz w:val="20"/>
                <w:szCs w:val="20"/>
              </w:rPr>
              <w:t xml:space="preserve">ERP write-back (CFO/CPO Briefing)</w:t>
            </w:r>
          </w:p>
        </w:tc>
        <w:tc>
          <w:tcPr>
            <w:tcW w:type="dxa" w:w="616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setTimeout flips a badge QUEUED → SYNCED. No connector exists.</w:t>
            </w:r>
          </w:p>
        </w:tc>
      </w:tr>
      <w:tr>
        <w:tc>
          <w:tcPr>
            <w:tcW w:type="dxa" w:w="32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AFB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i w:val="false"/>
                <w:iCs w:val="false"/>
                <w:color w:val="0E1520"/>
                <w:sz w:val="20"/>
                <w:szCs w:val="20"/>
              </w:rPr>
              <w:t xml:space="preserve">Supplier Portal (Assessments)</w:t>
            </w:r>
          </w:p>
        </w:tc>
        <w:tc>
          <w:tcPr>
            <w:tcW w:type="dxa" w:w="616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AFB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Static activity feed. No supplier-facing app, no auth for suppliers.</w:t>
            </w:r>
          </w:p>
        </w:tc>
      </w:tr>
      <w:tr>
        <w:tc>
          <w:tcPr>
            <w:tcW w:type="dxa" w:w="32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i w:val="false"/>
                <w:iCs w:val="false"/>
                <w:color w:val="0E1520"/>
                <w:sz w:val="20"/>
                <w:szCs w:val="20"/>
              </w:rPr>
              <w:t xml:space="preserve">Assessments</w:t>
            </w:r>
          </w:p>
        </w:tc>
        <w:tc>
          <w:tcPr>
            <w:tcW w:type="dxa" w:w="616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Sending / reminding is setTimeout; no questionnaire is delivered.</w:t>
            </w:r>
          </w:p>
        </w:tc>
      </w:tr>
      <w:tr>
        <w:tc>
          <w:tcPr>
            <w:tcW w:type="dxa" w:w="32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AFB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i w:val="false"/>
                <w:iCs w:val="false"/>
                <w:color w:val="0E1520"/>
                <w:sz w:val="20"/>
                <w:szCs w:val="20"/>
              </w:rPr>
              <w:t xml:space="preserve">Import &amp; Resolve</w:t>
            </w:r>
          </w:p>
        </w:tc>
        <w:tc>
          <w:tcPr>
            <w:tcW w:type="dxa" w:w="616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AFB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Full UI + interactive review queue, but fixture rows. No CSV parser, no resolver.</w:t>
            </w:r>
          </w:p>
        </w:tc>
      </w:tr>
      <w:tr>
        <w:tc>
          <w:tcPr>
            <w:tcW w:type="dxa" w:w="32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i w:val="false"/>
                <w:iCs w:val="false"/>
                <w:color w:val="0E1520"/>
                <w:sz w:val="20"/>
                <w:szCs w:val="20"/>
              </w:rPr>
              <w:t xml:space="preserve">Alert delivery (Alerts)</w:t>
            </w:r>
          </w:p>
        </w:tc>
        <w:tc>
          <w:tcPr>
            <w:tcW w:type="dxa" w:w="616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Email / Slack are rendered previews. Nothing is sent.</w:t>
            </w:r>
          </w:p>
        </w:tc>
      </w:tr>
      <w:tr>
        <w:tc>
          <w:tcPr>
            <w:tcW w:type="dxa" w:w="32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AFB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i w:val="false"/>
                <w:iCs w:val="false"/>
                <w:color w:val="0E1520"/>
                <w:sz w:val="20"/>
                <w:szCs w:val="20"/>
              </w:rPr>
              <w:t xml:space="preserve">Reports</w:t>
            </w:r>
          </w:p>
        </w:tc>
        <w:tc>
          <w:tcPr>
            <w:tcW w:type="dxa" w:w="616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AFB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Generates HTML client-side; export is a stub download.</w:t>
            </w:r>
          </w:p>
        </w:tc>
      </w:tr>
      <w:tr>
        <w:tc>
          <w:tcPr>
            <w:tcW w:type="dxa" w:w="32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i w:val="false"/>
                <w:iCs w:val="false"/>
                <w:color w:val="0E1520"/>
                <w:sz w:val="20"/>
                <w:szCs w:val="20"/>
              </w:rPr>
              <w:t xml:space="preserve">Credit data (FRISK, D&amp;B, Moody's badges)</w:t>
            </w:r>
          </w:p>
        </w:tc>
        <w:tc>
          <w:tcPr>
            <w:tcW w:type="dxa" w:w="616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Fixture values. No licensed credit provider is connected.</w:t>
            </w:r>
          </w:p>
        </w:tc>
      </w:tr>
      <w:tr>
        <w:tc>
          <w:tcPr>
            <w:tcW w:type="dxa" w:w="32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AFB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i w:val="false"/>
                <w:iCs w:val="false"/>
                <w:color w:val="0E1520"/>
                <w:sz w:val="20"/>
                <w:szCs w:val="20"/>
              </w:rPr>
              <w:t xml:space="preserve">All supplier / contract / event data</w:t>
            </w:r>
          </w:p>
        </w:tc>
        <w:tc>
          <w:tcPr>
            <w:tcW w:type="dxa" w:w="616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AFB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2,099 LOC of hardcoded fixtures for two fictional companies. Per mode: 8 richly-modelled 'governed' suppliers + 46 thinner records.</w:t>
            </w:r>
          </w:p>
        </w:tc>
      </w:tr>
      <w:tr>
        <w:tc>
          <w:tcPr>
            <w:tcW w:type="dxa" w:w="320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i w:val="false"/>
                <w:iCs w:val="false"/>
                <w:color w:val="0E1520"/>
                <w:sz w:val="20"/>
                <w:szCs w:val="20"/>
              </w:rPr>
              <w:t xml:space="preserve">Trend history</w:t>
            </w:r>
          </w:p>
        </w:tc>
        <w:tc>
          <w:tcPr>
            <w:tcW w:type="dxa" w:w="6160"/>
            <w:tcBorders>
              <w:top w:val="single" w:color="C9D1DF" w:sz="1"/>
              <w:left w:val="single" w:color="C9D1DF" w:sz="1"/>
              <w:bottom w:val="single" w:color="C9D1DF" w:sz="1"/>
              <w:right w:val="single" w:color="C9D1D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E1520"/>
                <w:sz w:val="20"/>
                <w:szCs w:val="20"/>
              </w:rPr>
              <w:t xml:space="preserve">Synthesised, e.g. dps * 0.6, dps * 0.75, …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top w:val="single" w:color="E3E8F1" w:sz="2" w:space="6"/>
          <w:bottom w:val="single" w:color="E3E8F1" w:sz="2" w:space="6"/>
          <w:left w:val="single" w:color="B98900" w:sz="18" w:space="8"/>
          <w:right w:val="single" w:color="E3E8F1" w:sz="2" w:space="6"/>
        </w:pBdr>
        <w:shd w:fill="FFF8E8" w:val="clear"/>
        <w:spacing w:after="200" w:before="60"/>
      </w:pPr>
      <w:r>
        <w:rPr>
          <w:b/>
          <w:bCs/>
          <w:i w:val="false"/>
          <w:iCs w:val="false"/>
        </w:rPr>
        <w:t xml:space="preserve">Commercial risk. </w:t>
      </w:r>
      <w:r>
        <w:rPr>
          <w:b w:val="false"/>
          <w:bCs w:val="false"/>
          <w:i w:val="false"/>
          <w:iCs w:val="false"/>
        </w:rPr>
        <w:t xml:space="preserve">A buyer shown the ERP write-back or supplier portal will reasonably believe they are live. That mismatch surfaces during implementation as churn and, in a signed contract, as a misrepresentation problem. Label simulated surfaces, or be explicit verbally.</w:t>
      </w:r>
    </w:p>
    <w:p>
      <w:pPr>
        <w:pStyle w:val="Heading1"/>
      </w:pPr>
      <w:r>
        <w:t xml:space="preserve">5. Auth, tenancy, security</w:t>
      </w:r>
    </w:p>
    <w:p>
      <w:pPr>
        <w:spacing w:after="140"/>
      </w:pPr>
      <w:r>
        <w:rPr>
          <w:b/>
          <w:bCs/>
          <w:i w:val="false"/>
          <w:iCs w:val="false"/>
        </w:rPr>
        <w:t xml:space="preserve">There is effectively none. </w:t>
      </w:r>
      <w:r>
        <w:rPr>
          <w:b w:val="false"/>
          <w:bCs w:val="false"/>
          <w:i w:val="false"/>
          <w:iCs w:val="false"/>
        </w:rPr>
        <w:t xml:space="preserve">Be blunt about this with any prospect who asks.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middleware.ts</w:t>
      </w:r>
      <w:r>
        <w:rPr>
          <w:b w:val="false"/>
          <w:bCs w:val="false"/>
          <w:i w:val="false"/>
          <w:iCs w:val="false"/>
        </w:rPr>
        <w:t xml:space="preserve"> gates the whole app on a single shared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DEMO_PASSWORD</w:t>
      </w:r>
      <w:r>
        <w:rPr>
          <w:b w:val="false"/>
          <w:bCs w:val="false"/>
          <w:i w:val="false"/>
          <w:iCs w:val="false"/>
        </w:rPr>
        <w:t xml:space="preserve">, and the auth cookie's value </w:t>
      </w:r>
      <w:r>
        <w:rPr>
          <w:b/>
          <w:bCs/>
          <w:i w:val="false"/>
          <w:iCs w:val="false"/>
        </w:rPr>
        <w:t xml:space="preserve">is the password itself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cookies.set("cv_auth", PASSWORD)</w:t>
      </w:r>
      <w:r>
        <w:rPr>
          <w:b w:val="false"/>
          <w:bCs w:val="false"/>
          <w:i w:val="false"/>
          <w:iCs w:val="false"/>
        </w:rPr>
        <w:t xml:space="preserve">). Anyone with the cookie has the password.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No user accounts, sessions, or organizations. No multi-tenancy of any kind.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Roles are client-side only.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src/lib/roles.ts</w:t>
      </w:r>
      <w:r>
        <w:rPr>
          <w:b w:val="false"/>
          <w:bCs w:val="false"/>
          <w:i w:val="false"/>
          <w:iCs w:val="false"/>
        </w:rPr>
        <w:t xml:space="preserve"> maps role → permitted routes, enforced in the React tree. Switching role is a dropdown; there is no server-side check. Trivially bypassed.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All user state is localStorage, 7 keys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cv_role, cv_custom_suppliers, cv_archived_suppliers, cv_supplier_notes, cv_contract_contacts, cv_risk_appetite, cv_dark_mode</w:t>
      </w:r>
      <w:r>
        <w:rPr>
          <w:b w:val="false"/>
          <w:bCs w:val="false"/>
          <w:i w:val="false"/>
          <w:iCs w:val="false"/>
        </w:rPr>
        <w:t xml:space="preserve">). Per-browser, lost on clear, invisible to any other device.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No audit log, rate limiting, error tracking, or AI spend cap.</w:t>
      </w:r>
    </w:p>
    <w:p>
      <w:pPr>
        <w:spacing w:after="200"/>
      </w:pPr>
      <w:r>
        <w:rPr>
          <w:b/>
          <w:bCs/>
          <w:i w:val="false"/>
          <w:iCs w:val="false"/>
          <w:color w:val="B3261E"/>
        </w:rPr>
        <w:t xml:space="preserve">Do not put real customer data in this system as it stands.</w:t>
      </w:r>
    </w:p>
    <w:p>
      <w:pPr>
        <w:pStyle w:val="Heading1"/>
      </w:pPr>
      <w:r>
        <w:t xml:space="preserve">6. Running it</w:t>
      </w:r>
    </w:p>
    <w:p>
      <w:pPr>
        <w:shd w:fill="F1F4FA" w:val="clear"/>
        <w:spacing w:after="0" w:before="40"/>
        <w:ind w:left="170"/>
      </w:pPr>
      <w:r>
        <w:rPr>
          <w:rFonts w:ascii="Consolas" w:cs="Consolas" w:eastAsia="Consolas" w:hAnsi="Consolas"/>
          <w:color w:val="23324A"/>
          <w:sz w:val="17"/>
          <w:szCs w:val="17"/>
        </w:rPr>
        <w:t xml:space="preserve">npm install</w:t>
      </w:r>
    </w:p>
    <w:p>
      <w:pPr>
        <w:shd w:fill="F1F4FA" w:val="clear"/>
        <w:spacing w:after="0" w:before="0"/>
        <w:ind w:left="170"/>
      </w:pPr>
      <w:r>
        <w:rPr>
          <w:rFonts w:ascii="Consolas" w:cs="Consolas" w:eastAsia="Consolas" w:hAnsi="Consolas"/>
          <w:color w:val="23324A"/>
          <w:sz w:val="17"/>
          <w:szCs w:val="17"/>
        </w:rPr>
        <w:t xml:space="preserve">npm run dev        # localhost:3000 — no keys needed; keyless feeds work, AI features 500</w:t>
      </w:r>
    </w:p>
    <w:p>
      <w:pPr>
        <w:shd w:fill="F1F4FA" w:val="clear"/>
        <w:spacing w:after="0" w:before="0"/>
        <w:ind w:left="170"/>
      </w:pPr>
      <w:r>
        <w:rPr>
          <w:rFonts w:ascii="Consolas" w:cs="Consolas" w:eastAsia="Consolas" w:hAnsi="Consolas"/>
          <w:color w:val="23324A"/>
          <w:sz w:val="17"/>
          <w:szCs w:val="17"/>
        </w:rPr>
        <w:t xml:space="preserve">npm test           # 66 tests</w:t>
      </w:r>
    </w:p>
    <w:p>
      <w:pPr>
        <w:shd w:fill="F1F4FA" w:val="clear"/>
        <w:spacing w:after="0" w:before="0"/>
        <w:ind w:left="170"/>
      </w:pPr>
      <w:r>
        <w:rPr>
          <w:rFonts w:ascii="Consolas" w:cs="Consolas" w:eastAsia="Consolas" w:hAnsi="Consolas"/>
          <w:color w:val="23324A"/>
          <w:sz w:val="17"/>
          <w:szCs w:val="17"/>
        </w:rPr>
        <w:t xml:space="preserve">npx tsc --noEmit   # typecheck</w:t>
      </w:r>
    </w:p>
    <w:p>
      <w:pPr>
        <w:shd w:fill="F1F4FA" w:val="clear"/>
        <w:spacing w:after="170" w:before="0"/>
        <w:ind w:left="170"/>
      </w:pPr>
      <w:r>
        <w:rPr>
          <w:rFonts w:ascii="Consolas" w:cs="Consolas" w:eastAsia="Consolas" w:hAnsi="Consolas"/>
          <w:color w:val="23324A"/>
          <w:sz w:val="17"/>
          <w:szCs w:val="17"/>
        </w:rPr>
        <w:t xml:space="preserve">npm run build      # production build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Env vars (all optional except Anthropic for AI features):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ANTHROPIC_API_KEY, FRED_API_KEY, COMPANIES_HOUSE_API_KEY, COMTRADE_API_KEY, OPENWEATHERMAP_API_KEY, DEMO_PASSWORD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Deploy: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npx vercel@latest deploy --prod --yes</w:t>
      </w:r>
      <w:r>
        <w:rPr>
          <w:b w:val="false"/>
          <w:bCs w:val="false"/>
          <w:i w:val="false"/>
          <w:iCs w:val="false"/>
        </w:rPr>
        <w:t xml:space="preserve">.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npm run ship</w:t>
      </w:r>
      <w:r>
        <w:rPr>
          <w:b w:val="false"/>
          <w:bCs w:val="false"/>
          <w:i w:val="false"/>
          <w:iCs w:val="false"/>
        </w:rPr>
        <w:t xml:space="preserve"> script exists that force-commits and deploys in one step — </w:t>
      </w:r>
      <w:r>
        <w:rPr>
          <w:b/>
          <w:bCs/>
          <w:i w:val="false"/>
          <w:iCs w:val="false"/>
        </w:rPr>
        <w:t xml:space="preserve">I would delete it</w:t>
      </w:r>
      <w:r>
        <w:rPr>
          <w:b w:val="false"/>
          <w:bCs w:val="false"/>
          <w:i w:val="false"/>
          <w:iCs w:val="false"/>
        </w:rPr>
        <w:t xml:space="preserve">; it encourages unreviewed pushes to production.</w:t>
      </w:r>
    </w:p>
    <w:p>
      <w:pPr>
        <w:pStyle w:val="Heading1"/>
      </w:pPr>
      <w:r>
        <w:t xml:space="preserve">7. Two client modes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The app ships two parallel datasets — Meridian Industrial (US, USD, UFLPA) and Worcester Bosch (EU, GBP, CSDDD/EUDR) — switched by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?client=wb</w:t>
      </w:r>
      <w:r>
        <w:rPr>
          <w:b w:val="false"/>
          <w:bCs w:val="false"/>
          <w:i w:val="false"/>
          <w:iCs w:val="false"/>
        </w:rPr>
        <w:t xml:space="preserve"> query param and branched through the eleven ternaries in Section 2. </w:t>
      </w:r>
      <w:r>
        <w:rPr>
          <w:b/>
          <w:bCs/>
          <w:i w:val="false"/>
          <w:iCs w:val="false"/>
        </w:rPr>
        <w:t xml:space="preserve">Everything exists twice</w:t>
      </w:r>
      <w:r>
        <w:rPr>
          <w:b w:val="false"/>
          <w:bCs w:val="false"/>
          <w:i w:val="false"/>
          <w:iCs w:val="false"/>
        </w:rPr>
        <w:t xml:space="preserve">: fixtures, currency handling, compliance framing, and the relevant enrichment sources.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MVP_PLAN.md</w:t>
      </w:r>
      <w:r>
        <w:rPr>
          <w:b w:val="false"/>
          <w:bCs w:val="false"/>
          <w:i w:val="false"/>
          <w:iCs w:val="false"/>
        </w:rPr>
        <w:t xml:space="preserve"> argues for dropping the EU path from the shipping product and keeping it only as a demo seed; that decision is not yet reflected in the code.</w:t>
      </w:r>
    </w:p>
    <w:p>
      <w:pPr>
        <w:pStyle w:val="Heading1"/>
      </w:pPr>
      <w:r>
        <w:t xml:space="preserve">8. Code-quality notes</w:t>
      </w:r>
    </w:p>
    <w:p>
      <w:pPr>
        <w:spacing w:after="140"/>
      </w:pPr>
      <w:r>
        <w:rPr>
          <w:b/>
          <w:bCs/>
          <w:i w:val="false"/>
          <w:iCs w:val="false"/>
          <w:color w:val="0B7A55"/>
        </w:rPr>
        <w:t xml:space="preserve">Good.</w:t>
      </w:r>
      <w:r>
        <w:rPr>
          <w:b w:val="false"/>
          <w:bCs w:val="false"/>
          <w:i w:val="false"/>
          <w:iCs w:val="false"/>
        </w:rPr>
        <w:t xml:space="preserve"> Strict TS with a clean typecheck; consistent token-based CSS; a small pure-function core with real tests; API routes uniformly defensive (retries, graceful degradation, no unhandled throws); domain types centralised.</w:t>
      </w:r>
    </w:p>
    <w:p>
      <w:pPr>
        <w:spacing w:after="140"/>
      </w:pPr>
      <w:r>
        <w:rPr>
          <w:b/>
          <w:bCs/>
          <w:i w:val="false"/>
          <w:iCs w:val="false"/>
          <w:color w:val="B3261E"/>
        </w:rPr>
        <w:t xml:space="preserve">Weak.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View components are very large. </w:t>
      </w:r>
      <w:r>
        <w:rPr>
          <w:b w:val="false"/>
          <w:bCs w:val="false"/>
          <w:i w:val="false"/>
          <w:iCs w:val="false"/>
        </w:rPr>
        <w:t xml:space="preserve">12,781 LOC across 19 files;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SupplierDetail/index.tsx</w:t>
      </w:r>
      <w:r>
        <w:rPr>
          <w:b w:val="false"/>
          <w:bCs w:val="false"/>
          <w:i w:val="false"/>
          <w:iCs w:val="false"/>
        </w:rPr>
        <w:t xml:space="preserve"> is 1,588 lines with five tabs inline,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Dashboard.tsx</w:t>
      </w:r>
      <w:r>
        <w:rPr>
          <w:b w:val="false"/>
          <w:bCs w:val="false"/>
          <w:i w:val="false"/>
          <w:iCs w:val="false"/>
        </w:rPr>
        <w:t xml:space="preserve"> 802,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SubTierIntelligence.tsx</w:t>
      </w:r>
      <w:r>
        <w:rPr>
          <w:b w:val="false"/>
          <w:bCs w:val="false"/>
          <w:i w:val="false"/>
          <w:iCs w:val="false"/>
        </w:rPr>
        <w:t xml:space="preserve"> 746. Extraction is the obvious first refactor.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Styling is entirely inline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style={{}}</w:t>
      </w:r>
      <w:r>
        <w:rPr>
          <w:b w:val="false"/>
          <w:bCs w:val="false"/>
          <w:i w:val="false"/>
          <w:iCs w:val="false"/>
        </w:rPr>
        <w:t xml:space="preserve"> in views, with globals.css for shared classes. No CSS modules, no variants. Visually consistent because tokens are used, but verbose.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Test coverage is one file. </w:t>
      </w:r>
      <w:r>
        <w:rPr>
          <w:b w:val="false"/>
          <w:bCs w:val="false"/>
          <w:i w:val="false"/>
          <w:iCs w:val="false"/>
        </w:rPr>
        <w:t xml:space="preserve">No component, route-handler, or integration tests.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No error boundaries</w:t>
      </w:r>
      <w:r>
        <w:rPr>
          <w:b w:val="false"/>
          <w:bCs w:val="false"/>
          <w:i w:val="false"/>
          <w:iCs w:val="false"/>
        </w:rPr>
        <w:t xml:space="preserve">; a throw in a view blanks the app.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Fixture data is hand-maintained TypeScript — adding a supplier means editing a literal.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One pre-existing lint error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as any</w:t>
      </w:r>
      <w:r>
        <w:rPr>
          <w:b w:val="false"/>
          <w:bCs w:val="false"/>
          <w:i w:val="false"/>
          <w:iCs w:val="false"/>
        </w:rPr>
        <w:t xml:space="preserve">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Suppliers/GovernedView.tsx:300</w:t>
      </w:r>
      <w:r>
        <w:rPr>
          <w:b w:val="false"/>
          <w:bCs w:val="false"/>
          <w:i w:val="false"/>
          <w:iCs w:val="false"/>
        </w:rPr>
        <w:t xml:space="preserve">) and a few unused-var warnings.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No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engines</w:t>
      </w:r>
      <w:r>
        <w:rPr>
          <w:b w:val="false"/>
          <w:bCs w:val="false"/>
          <w:i w:val="false"/>
          <w:iCs w:val="false"/>
        </w:rPr>
        <w:t xml:space="preserve"> pin in package.json; built on Node 24.</w:t>
      </w:r>
    </w:p>
    <w:p>
      <w:pPr>
        <w:pStyle w:val="Heading1"/>
      </w:pPr>
      <w:r>
        <w:t xml:space="preserve">9. Liabilities I would fix first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i w:val="false"/>
          <w:iCs w:val="false"/>
        </w:rPr>
        <w:t xml:space="preserve">/api/lookup-supplier fabricates data. </w:t>
      </w:r>
      <w:r>
        <w:rPr>
          <w:b w:val="false"/>
          <w:bCs w:val="false"/>
          <w:i w:val="false"/>
          <w:iCs w:val="false"/>
        </w:rPr>
        <w:t xml:space="preserve">Its prompt asks Claude for “realistic supplier profile data … or plausible estimates if not,” and it invents DUNS numbers, spend, and FRISK scores. Harmless while every company is fictional; in production it silently manufactures plausible-looking financials about </w:t>
      </w:r>
      <w:r>
        <w:rPr>
          <w:b/>
          <w:bCs/>
          <w:i w:val="false"/>
          <w:iCs w:val="false"/>
        </w:rPr>
        <w:t xml:space="preserve">real</w:t>
      </w:r>
      <w:r>
        <w:rPr>
          <w:b w:val="false"/>
          <w:bCs w:val="false"/>
          <w:i w:val="false"/>
          <w:iCs w:val="false"/>
        </w:rPr>
        <w:t xml:space="preserve"> companies. Delete it before any real customer sees the product.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i w:val="false"/>
          <w:iCs w:val="false"/>
        </w:rPr>
        <w:t xml:space="preserve">Auth. </w:t>
      </w:r>
      <w:r>
        <w:rPr>
          <w:b w:val="false"/>
          <w:bCs w:val="false"/>
          <w:i w:val="false"/>
          <w:iCs w:val="false"/>
        </w:rPr>
        <w:t xml:space="preserve">The cookie-is-the-password design and client-only RBAC must both go before real data.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i w:val="false"/>
          <w:iCs w:val="false"/>
        </w:rPr>
        <w:t xml:space="preserve">Unbounded AI spend. </w:t>
      </w:r>
      <w:r>
        <w:rPr>
          <w:b w:val="false"/>
          <w:bCs w:val="false"/>
          <w:i w:val="false"/>
          <w:iCs w:val="false"/>
        </w:rPr>
        <w:t xml:space="preserve">Five Claude routes, no caps, no per-tenant metering.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i w:val="false"/>
          <w:iCs w:val="false"/>
        </w:rPr>
        <w:t xml:space="preserve">NewsAPI was retired </w:t>
      </w:r>
      <w:r>
        <w:rPr>
          <w:b w:val="false"/>
          <w:bCs w:val="false"/>
          <w:i w:val="false"/>
          <w:iCs w:val="false"/>
        </w:rPr>
        <w:t xml:space="preserve">(its free tier is non-commercial) in favour of GDELT — worth checking remaining third-party terms if you add licensed sources.</w:t>
      </w:r>
    </w:p>
    <w:p>
      <w:pPr>
        <w:pStyle w:val="Heading1"/>
      </w:pPr>
      <w:r>
        <w:t xml:space="preserve">10. Path to a product</w:t>
      </w:r>
    </w:p>
    <w:p>
      <w:pPr>
        <w:spacing w:after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MVP_PLAN.md</w:t>
      </w:r>
      <w:r>
        <w:rPr>
          <w:b w:val="false"/>
          <w:bCs w:val="false"/>
          <w:i w:val="false"/>
          <w:iCs w:val="false"/>
        </w:rPr>
        <w:t xml:space="preserve"> (in repo root) is the detailed plan. Summary: Postgres + Drizzle, real auth with organizations, CSV ingestion with an </w:t>
      </w:r>
      <w:r>
        <w:rPr>
          <w:b/>
          <w:bCs/>
          <w:i w:val="false"/>
          <w:iCs w:val="false"/>
        </w:rPr>
        <w:t xml:space="preserve">entity-resolution</w:t>
      </w:r>
      <w:r>
        <w:rPr>
          <w:b w:val="false"/>
          <w:bCs w:val="false"/>
          <w:i w:val="false"/>
          <w:iCs w:val="false"/>
        </w:rPr>
        <w:t xml:space="preserve"> layer, persisted enrichment and versioned scoring, cron-driven feeds, real alert delivery. Estimated </w:t>
      </w:r>
      <w:r>
        <w:rPr>
          <w:b/>
          <w:bCs/>
          <w:i w:val="false"/>
          <w:iCs w:val="false"/>
        </w:rPr>
        <w:t xml:space="preserve">4–5 months for one strong full-stack engineer</w:t>
      </w:r>
      <w:r>
        <w:rPr>
          <w:b w:val="false"/>
          <w:bCs w:val="false"/>
          <w:i w:val="false"/>
          <w:iCs w:val="false"/>
        </w:rPr>
        <w:t xml:space="preserve">, or 2.5–3 months with two; a design-partner-usable slice lands at roughly 60% of that.</w:t>
      </w:r>
    </w:p>
    <w:p>
      <w:pPr>
        <w:pBdr>
          <w:top w:val="single" w:color="E3E8F1" w:sz="2" w:space="6"/>
          <w:bottom w:val="single" w:color="E3E8F1" w:sz="2" w:space="6"/>
          <w:left w:val="single" w:color="1246A0" w:sz="18" w:space="8"/>
          <w:right w:val="single" w:color="E3E8F1" w:sz="2" w:space="6"/>
        </w:pBdr>
        <w:shd w:fill="EEF3FB" w:val="clear"/>
        <w:spacing w:after="200" w:before="60"/>
      </w:pPr>
      <w:r>
        <w:rPr>
          <w:b/>
          <w:bCs/>
          <w:i w:val="false"/>
          <w:iCs w:val="false"/>
        </w:rPr>
        <w:t xml:space="preserve">The single largest unknown is entity resolution. </w:t>
      </w:r>
      <w:r>
        <w:rPr>
          <w:b w:val="false"/>
          <w:bCs w:val="false"/>
          <w:i w:val="false"/>
          <w:iCs w:val="false"/>
        </w:rPr>
        <w:t xml:space="preserve">The demo is convincing because its 50 suppliers are hand-curated and pre-matched to registry records. A real customer uploads 800 messy names, mostly private companies with no SEC filing and no LEI. Enrichment accuracy — and therefore trust in every downstream score — depends entirely on that matching layer, which does not exist yet. The plan's Section 12 recommends measuring auto-match rate against a private-weighted sample before building anything else. If that number lands near 20% rather than 50%, the review queue becomes the product and needs a different design.</w:t>
      </w:r>
    </w:p>
    <w:p>
      <w:pPr>
        <w:pStyle w:val="Heading1"/>
      </w:pPr>
      <w:r>
        <w:t xml:space="preserve">Appendix — routes</w:t>
      </w:r>
    </w:p>
    <w:p>
      <w:pPr>
        <w:spacing w:after="140"/>
      </w:pPr>
      <w:r>
        <w:rPr>
          <w:b/>
          <w:bCs/>
          <w:i w:val="false"/>
          <w:iCs w:val="false"/>
        </w:rPr>
        <w:t xml:space="preserve">Views (21 routes):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dashboard, cfo, cpo, alerts, events, crisis, suppliers, supplier, import, network, subtier, geomap, contracts, analytics, esg, recovery, commodities, assessments, reports, admin, settings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40"/>
      </w:pPr>
      <w:r>
        <w:rPr>
          <w:b/>
          <w:bCs/>
          <w:i w:val="false"/>
          <w:iCs w:val="false"/>
        </w:rPr>
        <w:t xml:space="preserve">Role → route access</w:t>
      </w:r>
      <w:r>
        <w:rPr>
          <w:b w:val="false"/>
          <w:bCs w:val="false"/>
          <w:i w:val="false"/>
          <w:iCs w:val="false"/>
        </w:rPr>
        <w:t xml:space="preserve"> is defined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src/lib/roles.ts</w:t>
      </w:r>
      <w:r>
        <w:rPr>
          <w:b w:val="false"/>
          <w:bCs w:val="false"/>
          <w:i w:val="false"/>
          <w:iCs w:val="false"/>
        </w:rPr>
        <w:t xml:space="preserve"> (CFO / Procurement / Analyst). Client-side only — see Section 5.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onsolas" w:cs="Consolas" w:eastAsia="Consolas" w:hAnsi="Consolas"/>
        <w:color w:val="5B6B87"/>
        <w:sz w:val="16"/>
        <w:szCs w:val="16"/>
      </w:rPr>
      <w:t xml:space="preserve">commit 131b1b3</w:t>
    </w:r>
    <w:r>
      <w:rPr>
        <w:sz w:val="16"/>
        <w:szCs w:val="16"/>
      </w:rPr>
      <w:t xml:space="preserve">	</w:t>
    </w:r>
    <w:r>
      <w:rPr>
        <w:color w:val="5B6B87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E" w:sz="2" w:space="4"/>
      </w:pBdr>
      <w:tabs>
        <w:tab w:val="right" w:pos="9026"/>
      </w:tabs>
    </w:pPr>
    <w:r>
      <w:rPr>
        <w:color w:val="5B6B87"/>
        <w:sz w:val="17"/>
        <w:szCs w:val="17"/>
      </w:rPr>
      <w:t xml:space="preserve">Chain Verity — Technical Brief</w:t>
    </w:r>
    <w:r>
      <w:rPr>
        <w:color w:val="5B6B87"/>
        <w:sz w:val="17"/>
        <w:szCs w:val="17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E15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DEEC" w:sz="4" w:space="5"/>
      </w:pBdr>
      <w:spacing w:after="150" w:before="340"/>
      <w:outlineLvl w:val="0"/>
    </w:pPr>
    <w:rPr>
      <w:rFonts w:ascii="Calibri" w:cs="Calibri" w:eastAsia="Calibri" w:hAnsi="Calibri"/>
      <w:b/>
      <w:bCs/>
      <w:color w:val="0E152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40"/>
      <w:outlineLvl w:val="1"/>
    </w:pPr>
    <w:rPr>
      <w:rFonts w:ascii="Calibri" w:cs="Calibri" w:eastAsia="Calibri" w:hAnsi="Calibri"/>
      <w:b/>
      <w:bCs/>
      <w:color w:val="27364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Calibri" w:cs="Calibri" w:eastAsia="Calibri" w:hAnsi="Calibri"/>
      <w:b/>
      <w:bCs/>
      <w:color w:val="5B6B8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2026-08-10T01:37:48.306Z</dcterms:created>
  <dcterms:modified xsi:type="dcterms:W3CDTF">2026-08-10T01:37:48.310Z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