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8"/>
        </w:numPr>
        <w:rPr/>
      </w:pPr>
      <w:r>
        <w:rPr/>
        <w:t>введение</w:t>
      </w:r>
    </w:p>
    <w:p>
      <w:pPr>
        <w:pStyle w:val="Normal"/>
        <w:numPr>
          <w:ilvl w:val="1"/>
          <w:numId w:val="8"/>
        </w:numPr>
        <w:rPr/>
      </w:pPr>
      <w:r>
        <w:rPr/>
        <w:t>Актуальность проблемы</w:t>
      </w:r>
    </w:p>
    <w:p>
      <w:pPr>
        <w:pStyle w:val="Normal"/>
        <w:numPr>
          <w:ilvl w:val="1"/>
          <w:numId w:val="8"/>
        </w:numPr>
        <w:rPr/>
      </w:pPr>
      <w:r>
        <w:rPr/>
        <w:t>Степень разработанности проблемы</w:t>
      </w:r>
    </w:p>
    <w:p>
      <w:pPr>
        <w:pStyle w:val="Normal"/>
        <w:numPr>
          <w:ilvl w:val="1"/>
          <w:numId w:val="8"/>
        </w:numPr>
        <w:rPr/>
      </w:pPr>
      <w:r>
        <w:rPr/>
        <w:t>Цель</w:t>
      </w:r>
    </w:p>
    <w:p>
      <w:pPr>
        <w:pStyle w:val="Normal"/>
        <w:numPr>
          <w:ilvl w:val="1"/>
          <w:numId w:val="8"/>
        </w:numPr>
        <w:rPr/>
      </w:pPr>
      <w:r>
        <w:rPr/>
        <w:t>Задачи</w:t>
      </w:r>
    </w:p>
    <w:p>
      <w:pPr>
        <w:pStyle w:val="Normal"/>
        <w:numPr>
          <w:ilvl w:val="1"/>
          <w:numId w:val="8"/>
        </w:numPr>
        <w:rPr/>
      </w:pPr>
      <w:r>
        <w:rPr/>
        <w:t>Объект исследования</w:t>
      </w:r>
    </w:p>
    <w:p>
      <w:pPr>
        <w:pStyle w:val="Normal"/>
        <w:numPr>
          <w:ilvl w:val="1"/>
          <w:numId w:val="8"/>
        </w:numPr>
        <w:rPr/>
      </w:pPr>
      <w:r>
        <w:rPr/>
        <w:t>Предмет исследования</w:t>
      </w:r>
    </w:p>
    <w:p>
      <w:pPr>
        <w:pStyle w:val="Normal"/>
        <w:numPr>
          <w:ilvl w:val="1"/>
          <w:numId w:val="8"/>
        </w:numPr>
        <w:rPr/>
      </w:pPr>
      <w:r>
        <w:rPr/>
        <w:t>Круг рассматриваемых проблем</w:t>
      </w:r>
    </w:p>
    <w:p>
      <w:pPr>
        <w:pStyle w:val="Normal"/>
        <w:numPr>
          <w:ilvl w:val="1"/>
          <w:numId w:val="8"/>
        </w:numPr>
        <w:rPr/>
      </w:pPr>
      <w:r>
        <w:rPr/>
        <w:t>Информационная база</w:t>
      </w:r>
    </w:p>
    <w:p>
      <w:pPr>
        <w:pStyle w:val="Normal"/>
        <w:numPr>
          <w:ilvl w:val="1"/>
          <w:numId w:val="8"/>
        </w:numPr>
        <w:rPr/>
      </w:pPr>
      <w:r>
        <w:rPr/>
        <w:t>Методы научного исследования</w:t>
      </w:r>
    </w:p>
    <w:p>
      <w:pPr>
        <w:pStyle w:val="Normal"/>
        <w:numPr>
          <w:ilvl w:val="1"/>
          <w:numId w:val="8"/>
        </w:numPr>
        <w:rPr/>
      </w:pPr>
      <w:r>
        <w:rPr/>
        <w:t>Теоретическая и практическая значимость работы</w:t>
      </w:r>
    </w:p>
    <w:p>
      <w:pPr>
        <w:pStyle w:val="Heading1"/>
        <w:rPr/>
      </w:pPr>
      <w:r>
        <w:rPr/>
      </w:r>
      <w:bookmarkStart w:id="0" w:name="_5n3u5no8y1sn"/>
      <w:bookmarkStart w:id="1" w:name="_5n3u5no8y1sn"/>
      <w:bookmarkEnd w:id="1"/>
    </w:p>
    <w:p>
      <w:pPr>
        <w:pStyle w:val="Heading1"/>
        <w:rPr/>
      </w:pPr>
      <w:r>
        <w:rPr/>
      </w:r>
      <w:bookmarkStart w:id="2" w:name="_dc4m23ufodpd"/>
      <w:bookmarkStart w:id="3" w:name="_dc4m23ufodpd"/>
      <w:bookmarkEnd w:id="3"/>
      <w:r>
        <w:br w:type="page"/>
      </w:r>
    </w:p>
    <w:p>
      <w:pPr>
        <w:pStyle w:val="Heading1"/>
        <w:spacing w:before="0" w:after="0"/>
        <w:jc w:val="center"/>
        <w:rPr/>
      </w:pPr>
      <w:bookmarkStart w:id="4" w:name="_Toc225707575"/>
      <w:r>
        <w:rPr/>
        <w:t>СОДЕРЖАНИЕ</w:t>
      </w:r>
      <w:bookmarkEnd w:id="4"/>
    </w:p>
    <w:sdt>
      <w:sdtPr>
        <w:docPartObj>
          <w:docPartGallery w:val="Table of Contents"/>
          <w:docPartUnique w:val="true"/>
        </w:docPartObj>
        <w:id w:val="131987622"/>
      </w:sdtPr>
      <w:sdtContent>
        <w:p>
          <w:pPr>
            <w:pStyle w:val="TOCHeading"/>
            <w:rPr/>
          </w:pPr>
          <w:r>
            <w:rPr/>
          </w:r>
        </w:p>
        <w:p>
          <w:pPr>
            <w:pStyle w:val="TOC1"/>
            <w:tabs>
              <w:tab w:val="clear" w:pos="709"/>
              <w:tab w:val="right" w:pos="9622" w:leader="dot"/>
            </w:tabs>
            <w:rPr>
              <w:rFonts w:ascii="Cambria" w:hAnsi="Cambria" w:eastAsia="" w:cs="" w:asciiTheme="minorHAnsi" w:cstheme="minorBidi" w:eastAsiaTheme="minorEastAsia" w:hAnsiTheme="minorHAnsi"/>
              <w:sz w:val="22"/>
              <w:szCs w:val="22"/>
              <w:lang w:val="ru-RU"/>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Toc225707575">
            <w:r>
              <w:rPr>
                <w:webHidden/>
                <w:rStyle w:val="IndexLink"/>
                <w:vanish w:val="false"/>
              </w:rPr>
              <w:t>СОДЕРЖАНИЕ</w:t>
            </w:r>
            <w:r>
              <w:rPr>
                <w:webHidden/>
              </w:rPr>
              <w:fldChar w:fldCharType="begin"/>
            </w:r>
            <w:r>
              <w:rPr>
                <w:webHidden/>
              </w:rPr>
              <w:instrText xml:space="preserve">PAGEREF _Toc225707575 \h</w:instrText>
            </w:r>
            <w:r>
              <w:rPr>
                <w:webHidden/>
              </w:rPr>
              <w:fldChar w:fldCharType="separate"/>
            </w:r>
            <w:r>
              <w:rPr>
                <w:rStyle w:val="IndexLink"/>
                <w:vanish w:val="false"/>
              </w:rPr>
              <w:tab/>
              <w:t>2</w:t>
            </w:r>
            <w:r>
              <w:rPr>
                <w:webHidden/>
              </w:rPr>
              <w:fldChar w:fldCharType="end"/>
            </w:r>
          </w:hyperlink>
        </w:p>
        <w:p>
          <w:pPr>
            <w:pStyle w:val="TOC1"/>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76">
            <w:r>
              <w:rPr>
                <w:webHidden/>
              </w:rPr>
              <w:fldChar w:fldCharType="begin"/>
            </w:r>
            <w:r>
              <w:rPr>
                <w:webHidden/>
              </w:rPr>
              <w:instrText xml:space="preserve">PAGEREF _Toc225707576 \h</w:instrText>
            </w:r>
            <w:r>
              <w:rPr>
                <w:webHidden/>
              </w:rPr>
              <w:fldChar w:fldCharType="separate"/>
            </w:r>
            <w:r>
              <w:rPr>
                <w:webHidden/>
                <w:rStyle w:val="IndexLink"/>
                <w:vanish w:val="false"/>
              </w:rPr>
              <w:t>ВВЕДЕНИЕ</w:t>
              <w:tab/>
              <w:t>5</w:t>
            </w:r>
            <w:r>
              <w:rPr>
                <w:webHidden/>
              </w:rPr>
              <w:fldChar w:fldCharType="end"/>
            </w:r>
          </w:hyperlink>
        </w:p>
        <w:p>
          <w:pPr>
            <w:pStyle w:val="TOC1"/>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77">
            <w:r>
              <w:rPr>
                <w:webHidden/>
              </w:rPr>
              <w:fldChar w:fldCharType="begin"/>
            </w:r>
            <w:r>
              <w:rPr>
                <w:webHidden/>
              </w:rPr>
              <w:instrText xml:space="preserve">PAGEREF _Toc225707577 \h</w:instrText>
            </w:r>
            <w:r>
              <w:rPr>
                <w:webHidden/>
              </w:rPr>
              <w:fldChar w:fldCharType="separate"/>
            </w:r>
            <w:r>
              <w:rPr>
                <w:webHidden/>
                <w:rStyle w:val="IndexLink"/>
                <w:vanish w:val="false"/>
              </w:rPr>
              <w:t>СПИСОК ТЕРМИНОВ И ОПРЕДЕЛЕНИЙ</w:t>
              <w:tab/>
              <w:t>8</w:t>
            </w:r>
            <w:r>
              <w:rPr>
                <w:webHidden/>
              </w:rPr>
              <w:fldChar w:fldCharType="end"/>
            </w:r>
          </w:hyperlink>
        </w:p>
        <w:p>
          <w:pPr>
            <w:pStyle w:val="TOC1"/>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78">
            <w:r>
              <w:rPr>
                <w:webHidden/>
              </w:rPr>
              <w:fldChar w:fldCharType="begin"/>
            </w:r>
            <w:r>
              <w:rPr>
                <w:webHidden/>
              </w:rPr>
              <w:instrText xml:space="preserve">PAGEREF _Toc225707578 \h</w:instrText>
            </w:r>
            <w:r>
              <w:rPr>
                <w:webHidden/>
              </w:rPr>
              <w:fldChar w:fldCharType="separate"/>
            </w:r>
            <w:r>
              <w:rPr>
                <w:webHidden/>
                <w:rStyle w:val="IndexLink"/>
                <w:vanish w:val="false"/>
              </w:rPr>
              <w:t>ГЛАВА 1. ТЕОРЕТИЧЕСКИЕ ОСНОВЫ ОБНАРУЖЕНИЯ БЕСПРОВОДНЫХ ИСТОЧНИКОВ ИЗЛУЧЕНИЯ</w:t>
              <w:tab/>
              <w:t>11</w:t>
            </w:r>
            <w:r>
              <w:rPr>
                <w:webHidden/>
              </w:rPr>
              <w:fldChar w:fldCharType="end"/>
            </w:r>
          </w:hyperlink>
        </w:p>
        <w:p>
          <w:pPr>
            <w:pStyle w:val="TOC2"/>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79">
            <w:r>
              <w:rPr>
                <w:webHidden/>
              </w:rPr>
              <w:fldChar w:fldCharType="begin"/>
            </w:r>
            <w:r>
              <w:rPr>
                <w:webHidden/>
              </w:rPr>
              <w:instrText xml:space="preserve">PAGEREF _Toc225707579 \h</w:instrText>
            </w:r>
            <w:r>
              <w:rPr>
                <w:webHidden/>
              </w:rPr>
              <w:fldChar w:fldCharType="separate"/>
            </w:r>
            <w:r>
              <w:rPr>
                <w:webHidden/>
                <w:rStyle w:val="IndexLink"/>
                <w:vanish w:val="false"/>
              </w:rPr>
              <w:t>1.1 Основные принципы функционирования беспроводных сетей Wi-Fi</w:t>
              <w:tab/>
              <w:t>11</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80">
            <w:r>
              <w:rPr>
                <w:webHidden/>
              </w:rPr>
              <w:fldChar w:fldCharType="begin"/>
            </w:r>
            <w:r>
              <w:rPr>
                <w:webHidden/>
              </w:rPr>
              <w:instrText xml:space="preserve">PAGEREF _Toc225707580 \h</w:instrText>
            </w:r>
            <w:r>
              <w:rPr>
                <w:webHidden/>
              </w:rPr>
              <w:fldChar w:fldCharType="separate"/>
            </w:r>
            <w:r>
              <w:rPr>
                <w:webHidden/>
                <w:rStyle w:val="IndexLink"/>
                <w:vanish w:val="false"/>
              </w:rPr>
              <w:t>1.1.1 Введение в принципы Wi-Fi и задачи обнаружения</w:t>
              <w:tab/>
              <w:t>11</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81">
            <w:r>
              <w:rPr>
                <w:webHidden/>
              </w:rPr>
              <w:fldChar w:fldCharType="begin"/>
            </w:r>
            <w:r>
              <w:rPr>
                <w:webHidden/>
              </w:rPr>
              <w:instrText xml:space="preserve">PAGEREF _Toc225707581 \h</w:instrText>
            </w:r>
            <w:r>
              <w:rPr>
                <w:webHidden/>
              </w:rPr>
              <w:fldChar w:fldCharType="separate"/>
            </w:r>
            <w:r>
              <w:rPr>
                <w:webHidden/>
                <w:rStyle w:val="IndexLink"/>
                <w:vanish w:val="false"/>
              </w:rPr>
              <w:t>1.1.2 Кадры Wi-Fi и режимы работы</w:t>
              <w:tab/>
              <w:t>13</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82">
            <w:r>
              <w:rPr>
                <w:webHidden/>
              </w:rPr>
              <w:fldChar w:fldCharType="begin"/>
            </w:r>
            <w:r>
              <w:rPr>
                <w:webHidden/>
              </w:rPr>
              <w:instrText xml:space="preserve">PAGEREF _Toc225707582 \h</w:instrText>
            </w:r>
            <w:r>
              <w:rPr>
                <w:webHidden/>
              </w:rPr>
              <w:fldChar w:fldCharType="separate"/>
            </w:r>
            <w:r>
              <w:rPr>
                <w:webHidden/>
                <w:rStyle w:val="IndexLink"/>
                <w:vanish w:val="false"/>
              </w:rPr>
              <w:t>1.1.3 Ограничения и ключевые параметры</w:t>
              <w:tab/>
              <w:t>14</w:t>
            </w:r>
            <w:r>
              <w:rPr>
                <w:webHidden/>
              </w:rPr>
              <w:fldChar w:fldCharType="end"/>
            </w:r>
          </w:hyperlink>
        </w:p>
        <w:p>
          <w:pPr>
            <w:pStyle w:val="TOC2"/>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83">
            <w:r>
              <w:rPr>
                <w:webHidden/>
              </w:rPr>
              <w:fldChar w:fldCharType="begin"/>
            </w:r>
            <w:r>
              <w:rPr>
                <w:webHidden/>
              </w:rPr>
              <w:instrText xml:space="preserve">PAGEREF _Toc225707583 \h</w:instrText>
            </w:r>
            <w:r>
              <w:rPr>
                <w:webHidden/>
              </w:rPr>
              <w:fldChar w:fldCharType="separate"/>
            </w:r>
            <w:r>
              <w:rPr>
                <w:webHidden/>
                <w:rStyle w:val="IndexLink"/>
                <w:vanish w:val="false"/>
              </w:rPr>
              <w:t>1.2 Классификация источников радиосигналов и характеристика параметров Wi-Fi точек доступа</w:t>
              <w:tab/>
              <w:t>16</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84">
            <w:r>
              <w:rPr>
                <w:webHidden/>
              </w:rPr>
              <w:fldChar w:fldCharType="begin"/>
            </w:r>
            <w:r>
              <w:rPr>
                <w:webHidden/>
              </w:rPr>
              <w:instrText xml:space="preserve">PAGEREF _Toc225707584 \h</w:instrText>
            </w:r>
            <w:r>
              <w:rPr>
                <w:webHidden/>
              </w:rPr>
              <w:fldChar w:fldCharType="separate"/>
            </w:r>
            <w:r>
              <w:rPr>
                <w:webHidden/>
                <w:rStyle w:val="IndexLink"/>
                <w:vanish w:val="false"/>
              </w:rPr>
              <w:t>1.2.1 Классификация по типу устройства</w:t>
              <w:tab/>
              <w:t>16</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85">
            <w:r>
              <w:rPr>
                <w:webHidden/>
              </w:rPr>
              <w:fldChar w:fldCharType="begin"/>
            </w:r>
            <w:r>
              <w:rPr>
                <w:webHidden/>
              </w:rPr>
              <w:instrText xml:space="preserve">PAGEREF _Toc225707585 \h</w:instrText>
            </w:r>
            <w:r>
              <w:rPr>
                <w:webHidden/>
              </w:rPr>
              <w:fldChar w:fldCharType="separate"/>
            </w:r>
            <w:r>
              <w:rPr>
                <w:webHidden/>
                <w:rStyle w:val="IndexLink"/>
                <w:vanish w:val="false"/>
              </w:rPr>
              <w:t>1.2.2 Классификация по статусу в сети</w:t>
              <w:tab/>
              <w:t>17</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86">
            <w:r>
              <w:rPr>
                <w:webHidden/>
              </w:rPr>
              <w:fldChar w:fldCharType="begin"/>
            </w:r>
            <w:r>
              <w:rPr>
                <w:webHidden/>
              </w:rPr>
              <w:instrText xml:space="preserve">PAGEREF _Toc225707586 \h</w:instrText>
            </w:r>
            <w:r>
              <w:rPr>
                <w:webHidden/>
              </w:rPr>
              <w:fldChar w:fldCharType="separate"/>
            </w:r>
            <w:r>
              <w:rPr>
                <w:webHidden/>
                <w:rStyle w:val="IndexLink"/>
                <w:vanish w:val="false"/>
              </w:rPr>
              <w:t>1.2.3 Классификация по активности и способу передачи</w:t>
              <w:tab/>
              <w:t>18</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87">
            <w:r>
              <w:rPr>
                <w:webHidden/>
              </w:rPr>
              <w:fldChar w:fldCharType="begin"/>
            </w:r>
            <w:r>
              <w:rPr>
                <w:webHidden/>
              </w:rPr>
              <w:instrText xml:space="preserve">PAGEREF _Toc225707587 \h</w:instrText>
            </w:r>
            <w:r>
              <w:rPr>
                <w:webHidden/>
              </w:rPr>
              <w:fldChar w:fldCharType="separate"/>
            </w:r>
            <w:r>
              <w:rPr>
                <w:webHidden/>
                <w:rStyle w:val="IndexLink"/>
                <w:vanish w:val="false"/>
              </w:rPr>
              <w:t>1.2.4 Классификация по радиофизическим характеристикам</w:t>
              <w:tab/>
              <w:t>18</w:t>
            </w:r>
            <w:r>
              <w:rPr>
                <w:webHidden/>
              </w:rPr>
              <w:fldChar w:fldCharType="end"/>
            </w:r>
          </w:hyperlink>
        </w:p>
        <w:p>
          <w:pPr>
            <w:pStyle w:val="TOC2"/>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88">
            <w:r>
              <w:rPr>
                <w:webHidden/>
              </w:rPr>
              <w:fldChar w:fldCharType="begin"/>
            </w:r>
            <w:r>
              <w:rPr>
                <w:webHidden/>
              </w:rPr>
              <w:instrText xml:space="preserve">PAGEREF _Toc225707588 \h</w:instrText>
            </w:r>
            <w:r>
              <w:rPr>
                <w:webHidden/>
              </w:rPr>
              <w:fldChar w:fldCharType="separate"/>
            </w:r>
            <w:r>
              <w:rPr>
                <w:webHidden/>
                <w:rStyle w:val="IndexLink"/>
                <w:vanish w:val="false"/>
              </w:rPr>
              <w:t>1.3 Методы и подходы к обнаружению и идентификации источников излучения</w:t>
              <w:tab/>
              <w:t>19</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89">
            <w:r>
              <w:rPr>
                <w:webHidden/>
                <w:rStyle w:val="IndexLink"/>
                <w:vanish w:val="false"/>
              </w:rPr>
              <w:t xml:space="preserve">1.3.1 </w:t>
            </w:r>
            <w:r>
              <w:rPr>
                <w:rStyle w:val="IndexLink"/>
                <w:lang w:val="ru-RU"/>
              </w:rPr>
              <w:t>М</w:t>
            </w:r>
            <w:r>
              <w:rPr>
                <w:rStyle w:val="IndexLink"/>
              </w:rPr>
              <w:t>етоды обнаружения</w:t>
            </w:r>
            <w:r>
              <w:rPr>
                <w:rStyle w:val="IndexLink"/>
                <w:lang w:val="ru-RU"/>
              </w:rPr>
              <w:t xml:space="preserve"> </w:t>
            </w:r>
            <w:r>
              <w:rPr>
                <w:rStyle w:val="IndexLink"/>
              </w:rPr>
              <w:t>активных источников</w:t>
            </w:r>
            <w:r>
              <w:rPr>
                <w:webHidden/>
              </w:rPr>
              <w:fldChar w:fldCharType="begin"/>
            </w:r>
            <w:r>
              <w:rPr>
                <w:webHidden/>
              </w:rPr>
              <w:instrText xml:space="preserve">PAGEREF _Toc225707589 \h</w:instrText>
            </w:r>
            <w:r>
              <w:rPr>
                <w:webHidden/>
              </w:rPr>
              <w:fldChar w:fldCharType="separate"/>
            </w:r>
            <w:r>
              <w:rPr>
                <w:rStyle w:val="IndexLink"/>
                <w:vanish w:val="false"/>
              </w:rPr>
              <w:tab/>
              <w:t>19</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90">
            <w:r>
              <w:rPr>
                <w:webHidden/>
                <w:rStyle w:val="IndexLink"/>
                <w:vanish w:val="false"/>
              </w:rPr>
              <w:t xml:space="preserve">1.3.2 </w:t>
            </w:r>
            <w:r>
              <w:rPr>
                <w:rStyle w:val="IndexLink"/>
                <w:lang w:val="ru-RU"/>
              </w:rPr>
              <w:t>Методы локализации активных источников</w:t>
            </w:r>
            <w:r>
              <w:rPr>
                <w:webHidden/>
              </w:rPr>
              <w:fldChar w:fldCharType="begin"/>
            </w:r>
            <w:r>
              <w:rPr>
                <w:webHidden/>
              </w:rPr>
              <w:instrText xml:space="preserve">PAGEREF _Toc225707590 \h</w:instrText>
            </w:r>
            <w:r>
              <w:rPr>
                <w:webHidden/>
              </w:rPr>
              <w:fldChar w:fldCharType="separate"/>
            </w:r>
            <w:r>
              <w:rPr>
                <w:rStyle w:val="IndexLink"/>
                <w:vanish w:val="false"/>
              </w:rPr>
              <w:tab/>
              <w:t>21</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91">
            <w:r>
              <w:rPr>
                <w:webHidden/>
                <w:rStyle w:val="IndexLink"/>
                <w:vanish w:val="false"/>
              </w:rPr>
              <w:t>1.3.</w:t>
            </w:r>
            <w:r>
              <w:rPr>
                <w:rStyle w:val="IndexLink"/>
                <w:lang w:val="ru-RU"/>
              </w:rPr>
              <w:t>3</w:t>
            </w:r>
            <w:r>
              <w:rPr>
                <w:rStyle w:val="IndexLink"/>
              </w:rPr>
              <w:t xml:space="preserve"> Методы </w:t>
            </w:r>
            <w:r>
              <w:rPr>
                <w:rStyle w:val="IndexLink"/>
                <w:lang w:val="ru-RU"/>
              </w:rPr>
              <w:t xml:space="preserve">локализации </w:t>
            </w:r>
            <w:r>
              <w:rPr>
                <w:rStyle w:val="IndexLink"/>
              </w:rPr>
              <w:t>на основе информации о состоянии канала (Channel State Information, CSI)</w:t>
            </w:r>
            <w:r>
              <w:rPr>
                <w:webHidden/>
              </w:rPr>
              <w:fldChar w:fldCharType="begin"/>
            </w:r>
            <w:r>
              <w:rPr>
                <w:webHidden/>
              </w:rPr>
              <w:instrText xml:space="preserve">PAGEREF _Toc225707591 \h</w:instrText>
            </w:r>
            <w:r>
              <w:rPr>
                <w:webHidden/>
              </w:rPr>
              <w:fldChar w:fldCharType="separate"/>
            </w:r>
            <w:r>
              <w:rPr>
                <w:rStyle w:val="IndexLink"/>
                <w:vanish w:val="false"/>
              </w:rPr>
              <w:tab/>
              <w:t>25</w:t>
            </w:r>
            <w:r>
              <w:rPr>
                <w:webHidden/>
              </w:rPr>
              <w:fldChar w:fldCharType="end"/>
            </w:r>
          </w:hyperlink>
        </w:p>
        <w:p>
          <w:pPr>
            <w:pStyle w:val="TOC1"/>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92">
            <w:r>
              <w:rPr>
                <w:webHidden/>
              </w:rPr>
              <w:fldChar w:fldCharType="begin"/>
            </w:r>
            <w:r>
              <w:rPr>
                <w:webHidden/>
              </w:rPr>
              <w:instrText xml:space="preserve">PAGEREF _Toc225707592 \h</w:instrText>
            </w:r>
            <w:r>
              <w:rPr>
                <w:webHidden/>
              </w:rPr>
              <w:fldChar w:fldCharType="separate"/>
            </w:r>
            <w:r>
              <w:rPr>
                <w:webHidden/>
                <w:rStyle w:val="IndexLink"/>
                <w:vanish w:val="false"/>
              </w:rPr>
              <w:t>ГЛАВА 2. АНАЛИЗ СУЩЕСТВУЮЩИХ ПОДХОДОВ К ОБЕСПЕЧЕНИЮ БЕЗОПАСНОСТИ WI-FI СЕТЕЙ В КРЕДИТНО-ФИНАНСОВЫХ ОРГАНИЗАЦИЯХ</w:t>
              <w:tab/>
              <w:t>27</w:t>
            </w:r>
            <w:r>
              <w:rPr>
                <w:webHidden/>
              </w:rPr>
              <w:fldChar w:fldCharType="end"/>
            </w:r>
          </w:hyperlink>
        </w:p>
        <w:p>
          <w:pPr>
            <w:pStyle w:val="TOC2"/>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93">
            <w:r>
              <w:rPr>
                <w:webHidden/>
              </w:rPr>
              <w:fldChar w:fldCharType="begin"/>
            </w:r>
            <w:r>
              <w:rPr>
                <w:webHidden/>
              </w:rPr>
              <w:instrText xml:space="preserve">PAGEREF _Toc225707593 \h</w:instrText>
            </w:r>
            <w:r>
              <w:rPr>
                <w:webHidden/>
              </w:rPr>
              <w:fldChar w:fldCharType="separate"/>
            </w:r>
            <w:r>
              <w:rPr>
                <w:webHidden/>
                <w:rStyle w:val="IndexLink"/>
                <w:vanish w:val="false"/>
              </w:rPr>
              <w:t>2.1. Угрозы, связанные с использованием незарегистрированных Wi-Fi точек доступа.</w:t>
              <w:tab/>
              <w:t>27</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94">
            <w:r>
              <w:rPr>
                <w:webHidden/>
              </w:rPr>
              <w:fldChar w:fldCharType="begin"/>
            </w:r>
            <w:r>
              <w:rPr>
                <w:webHidden/>
              </w:rPr>
              <w:instrText xml:space="preserve">PAGEREF _Toc225707594 \h</w:instrText>
            </w:r>
            <w:r>
              <w:rPr>
                <w:webHidden/>
              </w:rPr>
              <w:fldChar w:fldCharType="separate"/>
            </w:r>
            <w:r>
              <w:rPr>
                <w:webHidden/>
                <w:rStyle w:val="IndexLink"/>
                <w:vanish w:val="false"/>
              </w:rPr>
              <w:t>2.1.1 Типы незарегистрированных точек доступа и их роль в формировании угроз безопасности</w:t>
              <w:tab/>
              <w:t>27</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95">
            <w:r>
              <w:rPr>
                <w:webHidden/>
              </w:rPr>
              <w:fldChar w:fldCharType="begin"/>
            </w:r>
            <w:r>
              <w:rPr>
                <w:webHidden/>
              </w:rPr>
              <w:instrText xml:space="preserve">PAGEREF _Toc225707595 \h</w:instrText>
            </w:r>
            <w:r>
              <w:rPr>
                <w:webHidden/>
              </w:rPr>
              <w:fldChar w:fldCharType="separate"/>
            </w:r>
            <w:r>
              <w:rPr>
                <w:webHidden/>
                <w:rStyle w:val="IndexLink"/>
                <w:vanish w:val="false"/>
              </w:rPr>
              <w:t>2.1.2. Механизмы реализации атак и особенности обхода традиционных средств защиты</w:t>
              <w:tab/>
              <w:t>29</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96">
            <w:r>
              <w:rPr>
                <w:webHidden/>
              </w:rPr>
              <w:fldChar w:fldCharType="begin"/>
            </w:r>
            <w:r>
              <w:rPr>
                <w:webHidden/>
              </w:rPr>
              <w:instrText xml:space="preserve">PAGEREF _Toc225707596 \h</w:instrText>
            </w:r>
            <w:r>
              <w:rPr>
                <w:webHidden/>
              </w:rPr>
              <w:fldChar w:fldCharType="separate"/>
            </w:r>
            <w:r>
              <w:rPr>
                <w:webHidden/>
                <w:rStyle w:val="IndexLink"/>
                <w:vanish w:val="false"/>
              </w:rPr>
              <w:t>2.1.3. Угроза утечки информации и роль человеческого фактора в формировании незарегистрированных беспроводных каналов</w:t>
              <w:tab/>
              <w:t>31</w:t>
            </w:r>
            <w:r>
              <w:rPr>
                <w:webHidden/>
              </w:rPr>
              <w:fldChar w:fldCharType="end"/>
            </w:r>
          </w:hyperlink>
        </w:p>
        <w:p>
          <w:pPr>
            <w:pStyle w:val="TOC2"/>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97">
            <w:r>
              <w:rPr>
                <w:webHidden/>
              </w:rPr>
              <w:fldChar w:fldCharType="begin"/>
            </w:r>
            <w:r>
              <w:rPr>
                <w:webHidden/>
              </w:rPr>
              <w:instrText xml:space="preserve">PAGEREF _Toc225707597 \h</w:instrText>
            </w:r>
            <w:r>
              <w:rPr>
                <w:webHidden/>
              </w:rPr>
              <w:fldChar w:fldCharType="separate"/>
            </w:r>
            <w:r>
              <w:rPr>
                <w:webHidden/>
                <w:rStyle w:val="IndexLink"/>
                <w:vanish w:val="false"/>
              </w:rPr>
              <w:t>2.2. Обзор существующих решений для обнаружения несанкционированных беспроводных устройств</w:t>
              <w:tab/>
              <w:t>33</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98">
            <w:r>
              <w:rPr>
                <w:webHidden/>
              </w:rPr>
              <w:fldChar w:fldCharType="begin"/>
            </w:r>
            <w:r>
              <w:rPr>
                <w:webHidden/>
              </w:rPr>
              <w:instrText xml:space="preserve">PAGEREF _Toc225707598 \h</w:instrText>
            </w:r>
            <w:r>
              <w:rPr>
                <w:webHidden/>
              </w:rPr>
              <w:fldChar w:fldCharType="separate"/>
            </w:r>
            <w:r>
              <w:rPr>
                <w:webHidden/>
                <w:rStyle w:val="IndexLink"/>
                <w:vanish w:val="false"/>
              </w:rPr>
              <w:t>2.2.1. Системы WIDS и WIPS: принципы настройки, развертывания и функционирования</w:t>
              <w:tab/>
              <w:t>33</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599">
            <w:r>
              <w:rPr>
                <w:webHidden/>
              </w:rPr>
              <w:fldChar w:fldCharType="begin"/>
            </w:r>
            <w:r>
              <w:rPr>
                <w:webHidden/>
              </w:rPr>
              <w:instrText xml:space="preserve">PAGEREF _Toc225707599 \h</w:instrText>
            </w:r>
            <w:r>
              <w:rPr>
                <w:webHidden/>
              </w:rPr>
              <w:fldChar w:fldCharType="separate"/>
            </w:r>
            <w:r>
              <w:rPr>
                <w:webHidden/>
                <w:rStyle w:val="IndexLink"/>
                <w:vanish w:val="false"/>
              </w:rPr>
              <w:t>2.2.2 Российские решения класса WIDS/WIPS для обнаружения несанкционированных беспроводных устройств</w:t>
              <w:tab/>
              <w:t>36</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600">
            <w:r>
              <w:rPr>
                <w:webHidden/>
              </w:rPr>
              <w:fldChar w:fldCharType="begin"/>
            </w:r>
            <w:r>
              <w:rPr>
                <w:webHidden/>
              </w:rPr>
              <w:instrText xml:space="preserve">PAGEREF _Toc225707600 \h</w:instrText>
            </w:r>
            <w:r>
              <w:rPr>
                <w:webHidden/>
              </w:rPr>
              <w:fldChar w:fldCharType="separate"/>
            </w:r>
            <w:r>
              <w:rPr>
                <w:webHidden/>
                <w:rStyle w:val="IndexLink"/>
                <w:vanish w:val="false"/>
              </w:rPr>
              <w:t>2.2.3. Основные функциональные компоненты современных WIDS/WIPS-решений и их интеграция с системами безопасности</w:t>
              <w:tab/>
              <w:t>38</w:t>
            </w:r>
            <w:r>
              <w:rPr>
                <w:webHidden/>
              </w:rPr>
              <w:fldChar w:fldCharType="end"/>
            </w:r>
          </w:hyperlink>
        </w:p>
        <w:p>
          <w:pPr>
            <w:pStyle w:val="TOC2"/>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601">
            <w:r>
              <w:rPr>
                <w:webHidden/>
              </w:rPr>
              <w:fldChar w:fldCharType="begin"/>
            </w:r>
            <w:r>
              <w:rPr>
                <w:webHidden/>
              </w:rPr>
              <w:instrText xml:space="preserve">PAGEREF _Toc225707601 \h</w:instrText>
            </w:r>
            <w:r>
              <w:rPr>
                <w:webHidden/>
              </w:rPr>
              <w:fldChar w:fldCharType="separate"/>
            </w:r>
            <w:r>
              <w:rPr>
                <w:webHidden/>
                <w:rStyle w:val="IndexLink"/>
                <w:vanish w:val="false"/>
              </w:rPr>
              <w:t>2.3. Анализ применяемых технологий мониторинга радиочастотного спектра и сетевого трафика.</w:t>
              <w:tab/>
              <w:t>42</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602">
            <w:r>
              <w:rPr>
                <w:webHidden/>
                <w:rStyle w:val="IndexLink"/>
                <w:vanish w:val="false"/>
                <w:lang w:val="ru-RU"/>
              </w:rPr>
              <w:t>2.3.1 Применение классических методов идентификации</w:t>
            </w:r>
            <w:r>
              <w:rPr>
                <w:webHidden/>
              </w:rPr>
              <w:fldChar w:fldCharType="begin"/>
            </w:r>
            <w:r>
              <w:rPr>
                <w:webHidden/>
              </w:rPr>
              <w:instrText xml:space="preserve">PAGEREF _Toc225707602 \h</w:instrText>
            </w:r>
            <w:r>
              <w:rPr>
                <w:webHidden/>
              </w:rPr>
              <w:fldChar w:fldCharType="separate"/>
            </w:r>
            <w:r>
              <w:rPr>
                <w:rStyle w:val="IndexLink"/>
                <w:vanish w:val="false"/>
              </w:rPr>
              <w:tab/>
              <w:t>43</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603">
            <w:r>
              <w:rPr>
                <w:webHidden/>
                <w:rStyle w:val="IndexLink"/>
                <w:vanish w:val="false"/>
                <w:lang w:val="ru-RU"/>
              </w:rPr>
              <w:t>2.3.2 Информационная характеристика канала (CSI) и расширенные признаки</w:t>
            </w:r>
            <w:r>
              <w:rPr>
                <w:webHidden/>
              </w:rPr>
              <w:fldChar w:fldCharType="begin"/>
            </w:r>
            <w:r>
              <w:rPr>
                <w:webHidden/>
              </w:rPr>
              <w:instrText xml:space="preserve">PAGEREF _Toc225707603 \h</w:instrText>
            </w:r>
            <w:r>
              <w:rPr>
                <w:webHidden/>
              </w:rPr>
              <w:fldChar w:fldCharType="separate"/>
            </w:r>
            <w:r>
              <w:rPr>
                <w:rStyle w:val="IndexLink"/>
                <w:vanish w:val="false"/>
              </w:rPr>
              <w:tab/>
              <w:t>43</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604">
            <w:r>
              <w:rPr>
                <w:webHidden/>
                <w:rStyle w:val="IndexLink"/>
                <w:vanish w:val="false"/>
                <w:lang w:val="ru-RU"/>
              </w:rPr>
              <w:t>2.3.3 Статистические методы анализа активности</w:t>
            </w:r>
            <w:r>
              <w:rPr>
                <w:webHidden/>
              </w:rPr>
              <w:fldChar w:fldCharType="begin"/>
            </w:r>
            <w:r>
              <w:rPr>
                <w:webHidden/>
              </w:rPr>
              <w:instrText xml:space="preserve">PAGEREF _Toc225707604 \h</w:instrText>
            </w:r>
            <w:r>
              <w:rPr>
                <w:webHidden/>
              </w:rPr>
              <w:fldChar w:fldCharType="separate"/>
            </w:r>
            <w:r>
              <w:rPr>
                <w:rStyle w:val="IndexLink"/>
                <w:vanish w:val="false"/>
              </w:rPr>
              <w:tab/>
              <w:t>44</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605">
            <w:r>
              <w:rPr>
                <w:webHidden/>
                <w:rStyle w:val="IndexLink"/>
                <w:vanish w:val="false"/>
                <w:lang w:val="ru-RU"/>
              </w:rPr>
              <w:t>2.3.4 Интеграция с анализом сетевого трафика</w:t>
            </w:r>
            <w:r>
              <w:rPr>
                <w:webHidden/>
              </w:rPr>
              <w:fldChar w:fldCharType="begin"/>
            </w:r>
            <w:r>
              <w:rPr>
                <w:webHidden/>
              </w:rPr>
              <w:instrText xml:space="preserve">PAGEREF _Toc225707605 \h</w:instrText>
            </w:r>
            <w:r>
              <w:rPr>
                <w:webHidden/>
              </w:rPr>
              <w:fldChar w:fldCharType="separate"/>
            </w:r>
            <w:r>
              <w:rPr>
                <w:rStyle w:val="IndexLink"/>
                <w:vanish w:val="false"/>
              </w:rPr>
              <w:tab/>
              <w:t>44</w:t>
            </w:r>
            <w:r>
              <w:rPr>
                <w:webHidden/>
              </w:rPr>
              <w:fldChar w:fldCharType="end"/>
            </w:r>
          </w:hyperlink>
        </w:p>
        <w:p>
          <w:pPr>
            <w:pStyle w:val="TOC2"/>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606">
            <w:r>
              <w:rPr>
                <w:webHidden/>
              </w:rPr>
              <w:fldChar w:fldCharType="begin"/>
            </w:r>
            <w:r>
              <w:rPr>
                <w:webHidden/>
              </w:rPr>
              <w:instrText xml:space="preserve">PAGEREF _Toc225707606 \h</w:instrText>
            </w:r>
            <w:r>
              <w:rPr>
                <w:webHidden/>
              </w:rPr>
              <w:fldChar w:fldCharType="separate"/>
            </w:r>
            <w:r>
              <w:rPr>
                <w:webHidden/>
                <w:rStyle w:val="IndexLink"/>
                <w:vanish w:val="false"/>
              </w:rPr>
              <w:t>2.4. Методы оценки эффективности систем обнаружения источников излучения.</w:t>
              <w:tab/>
              <w:t>45</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607">
            <w:r>
              <w:rPr>
                <w:webHidden/>
              </w:rPr>
              <w:fldChar w:fldCharType="begin"/>
            </w:r>
            <w:r>
              <w:rPr>
                <w:webHidden/>
              </w:rPr>
              <w:instrText xml:space="preserve">PAGEREF _Toc225707607 \h</w:instrText>
            </w:r>
            <w:r>
              <w:rPr>
                <w:webHidden/>
              </w:rPr>
              <w:fldChar w:fldCharType="separate"/>
            </w:r>
            <w:r>
              <w:rPr>
                <w:webHidden/>
                <w:rStyle w:val="IndexLink"/>
                <w:vanish w:val="false"/>
              </w:rPr>
              <w:t>2.4.1 Метрики ошибок</w:t>
              <w:tab/>
              <w:t>45</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608">
            <w:r>
              <w:rPr>
                <w:webHidden/>
                <w:rStyle w:val="IndexLink"/>
                <w:vanish w:val="false"/>
                <w:lang w:val="ru-RU"/>
              </w:rPr>
              <w:t>2.4.2 Точность локализации источников</w:t>
            </w:r>
            <w:r>
              <w:rPr>
                <w:webHidden/>
              </w:rPr>
              <w:fldChar w:fldCharType="begin"/>
            </w:r>
            <w:r>
              <w:rPr>
                <w:webHidden/>
              </w:rPr>
              <w:instrText xml:space="preserve">PAGEREF _Toc225707608 \h</w:instrText>
            </w:r>
            <w:r>
              <w:rPr>
                <w:webHidden/>
              </w:rPr>
              <w:fldChar w:fldCharType="separate"/>
            </w:r>
            <w:r>
              <w:rPr>
                <w:rStyle w:val="IndexLink"/>
                <w:vanish w:val="false"/>
              </w:rPr>
              <w:tab/>
              <w:t>46</w:t>
            </w:r>
            <w:r>
              <w:rPr>
                <w:webHidden/>
              </w:rPr>
              <w:fldChar w:fldCharType="end"/>
            </w:r>
          </w:hyperlink>
        </w:p>
        <w:p>
          <w:pPr>
            <w:pStyle w:val="TOC3"/>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609">
            <w:r>
              <w:rPr>
                <w:webHidden/>
                <w:rStyle w:val="IndexLink"/>
                <w:vanish w:val="false"/>
                <w:lang w:val="ru-RU"/>
              </w:rPr>
              <w:t>2.4.3 Время реакции и устойчивость к аномалиям</w:t>
            </w:r>
            <w:r>
              <w:rPr>
                <w:webHidden/>
              </w:rPr>
              <w:fldChar w:fldCharType="begin"/>
            </w:r>
            <w:r>
              <w:rPr>
                <w:webHidden/>
              </w:rPr>
              <w:instrText xml:space="preserve">PAGEREF _Toc225707609 \h</w:instrText>
            </w:r>
            <w:r>
              <w:rPr>
                <w:webHidden/>
              </w:rPr>
              <w:fldChar w:fldCharType="separate"/>
            </w:r>
            <w:r>
              <w:rPr>
                <w:rStyle w:val="IndexLink"/>
                <w:vanish w:val="false"/>
              </w:rPr>
              <w:tab/>
              <w:t>47</w:t>
            </w:r>
            <w:r>
              <w:rPr>
                <w:webHidden/>
              </w:rPr>
              <w:fldChar w:fldCharType="end"/>
            </w:r>
          </w:hyperlink>
        </w:p>
        <w:p>
          <w:pPr>
            <w:pStyle w:val="TOC2"/>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610">
            <w:r>
              <w:rPr>
                <w:webHidden/>
              </w:rPr>
              <w:fldChar w:fldCharType="begin"/>
            </w:r>
            <w:r>
              <w:rPr>
                <w:webHidden/>
              </w:rPr>
              <w:instrText xml:space="preserve">PAGEREF _Toc225707610 \h</w:instrText>
            </w:r>
            <w:r>
              <w:rPr>
                <w:webHidden/>
              </w:rPr>
              <w:fldChar w:fldCharType="separate"/>
            </w:r>
            <w:r>
              <w:rPr>
                <w:webHidden/>
                <w:rStyle w:val="IndexLink"/>
                <w:vanish w:val="false"/>
              </w:rPr>
              <w:t>2.5. Постановка задачи разработки мультимодальной модели и формулировка требований к ПАК.</w:t>
              <w:tab/>
              <w:t>48</w:t>
            </w:r>
            <w:r>
              <w:rPr>
                <w:webHidden/>
              </w:rPr>
              <w:fldChar w:fldCharType="end"/>
            </w:r>
          </w:hyperlink>
        </w:p>
        <w:p>
          <w:pPr>
            <w:pStyle w:val="TOC1"/>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611">
            <w:r>
              <w:rPr>
                <w:webHidden/>
                <w:rStyle w:val="IndexLink"/>
                <w:vanish w:val="false"/>
                <w:lang w:val="ru-RU"/>
              </w:rPr>
              <w:t xml:space="preserve">ГЛАВА 3. РАЗРАБОТКА И АПРОБАЦИЯ МУЛЬТИМОДАЛЬНОЙ МОДЕЛИ ОБНАРУЖЕНИЯ НЕЗАРЕГИСТРИРОВАННЫХ </w:t>
            </w:r>
            <w:r>
              <w:rPr>
                <w:rStyle w:val="IndexLink"/>
                <w:lang w:val="en-US"/>
              </w:rPr>
              <w:t>WIFI</w:t>
            </w:r>
            <w:r>
              <w:rPr>
                <w:rStyle w:val="IndexLink"/>
                <w:lang w:val="ru-RU"/>
              </w:rPr>
              <w:t xml:space="preserve"> ТОЧЕК ДОСТУПА</w:t>
            </w:r>
            <w:r>
              <w:rPr>
                <w:webHidden/>
              </w:rPr>
              <w:fldChar w:fldCharType="begin"/>
            </w:r>
            <w:r>
              <w:rPr>
                <w:webHidden/>
              </w:rPr>
              <w:instrText xml:space="preserve">PAGEREF _Toc225707611 \h</w:instrText>
            </w:r>
            <w:r>
              <w:rPr>
                <w:webHidden/>
              </w:rPr>
              <w:fldChar w:fldCharType="separate"/>
            </w:r>
            <w:r>
              <w:rPr>
                <w:rStyle w:val="IndexLink"/>
                <w:vanish w:val="false"/>
              </w:rPr>
              <w:tab/>
              <w:t>52</w:t>
            </w:r>
            <w:r>
              <w:rPr>
                <w:webHidden/>
              </w:rPr>
              <w:fldChar w:fldCharType="end"/>
            </w:r>
          </w:hyperlink>
        </w:p>
        <w:p>
          <w:pPr>
            <w:pStyle w:val="TOC2"/>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612">
            <w:r>
              <w:rPr>
                <w:webHidden/>
              </w:rPr>
              <w:fldChar w:fldCharType="begin"/>
            </w:r>
            <w:r>
              <w:rPr>
                <w:webHidden/>
              </w:rPr>
              <w:instrText xml:space="preserve">PAGEREF _Toc225707612 \h</w:instrText>
            </w:r>
            <w:r>
              <w:rPr>
                <w:webHidden/>
              </w:rPr>
              <w:fldChar w:fldCharType="separate"/>
            </w:r>
            <w:r>
              <w:rPr>
                <w:webHidden/>
                <w:rStyle w:val="IndexLink"/>
                <w:vanish w:val="false"/>
              </w:rPr>
              <w:t>3.1. Разработка алгоритма обнаружения источников излучения.</w:t>
              <w:tab/>
              <w:t>52</w:t>
            </w:r>
            <w:r>
              <w:rPr>
                <w:webHidden/>
              </w:rPr>
              <w:fldChar w:fldCharType="end"/>
            </w:r>
          </w:hyperlink>
        </w:p>
        <w:p>
          <w:pPr>
            <w:pStyle w:val="TOC2"/>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613">
            <w:r>
              <w:rPr>
                <w:webHidden/>
              </w:rPr>
              <w:fldChar w:fldCharType="begin"/>
            </w:r>
            <w:r>
              <w:rPr>
                <w:webHidden/>
              </w:rPr>
              <w:instrText xml:space="preserve">PAGEREF _Toc225707613 \h</w:instrText>
            </w:r>
            <w:r>
              <w:rPr>
                <w:webHidden/>
              </w:rPr>
              <w:fldChar w:fldCharType="separate"/>
            </w:r>
            <w:r>
              <w:rPr>
                <w:webHidden/>
                <w:rStyle w:val="IndexLink"/>
                <w:vanish w:val="false"/>
              </w:rPr>
              <w:t>3.2. Разработка и реализация программно-аппаратного комплекса.</w:t>
              <w:tab/>
              <w:t>52</w:t>
            </w:r>
            <w:r>
              <w:rPr>
                <w:webHidden/>
              </w:rPr>
              <w:fldChar w:fldCharType="end"/>
            </w:r>
          </w:hyperlink>
        </w:p>
        <w:p>
          <w:pPr>
            <w:pStyle w:val="TOC2"/>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614">
            <w:r>
              <w:rPr>
                <w:webHidden/>
              </w:rPr>
              <w:fldChar w:fldCharType="begin"/>
            </w:r>
            <w:r>
              <w:rPr>
                <w:webHidden/>
              </w:rPr>
              <w:instrText xml:space="preserve">PAGEREF _Toc225707614 \h</w:instrText>
            </w:r>
            <w:r>
              <w:rPr>
                <w:webHidden/>
              </w:rPr>
              <w:fldChar w:fldCharType="separate"/>
            </w:r>
            <w:r>
              <w:rPr>
                <w:webHidden/>
                <w:rStyle w:val="IndexLink"/>
                <w:vanish w:val="false"/>
              </w:rPr>
              <w:t>3.3. Практические рекомендации и направления совершенствования.</w:t>
              <w:tab/>
              <w:t>52</w:t>
            </w:r>
            <w:r>
              <w:rPr>
                <w:webHidden/>
              </w:rPr>
              <w:fldChar w:fldCharType="end"/>
            </w:r>
          </w:hyperlink>
        </w:p>
        <w:p>
          <w:pPr>
            <w:pStyle w:val="TOC2"/>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615">
            <w:r>
              <w:rPr>
                <w:webHidden/>
              </w:rPr>
              <w:fldChar w:fldCharType="begin"/>
            </w:r>
            <w:r>
              <w:rPr>
                <w:webHidden/>
              </w:rPr>
              <w:instrText xml:space="preserve">PAGEREF _Toc225707615 \h</w:instrText>
            </w:r>
            <w:r>
              <w:rPr>
                <w:webHidden/>
              </w:rPr>
              <w:fldChar w:fldCharType="separate"/>
            </w:r>
            <w:r>
              <w:rPr>
                <w:webHidden/>
                <w:rStyle w:val="IndexLink"/>
                <w:vanish w:val="false"/>
              </w:rPr>
              <w:t>3.4. Экономическая и практическая эффективность.</w:t>
              <w:tab/>
              <w:t>52</w:t>
            </w:r>
            <w:r>
              <w:rPr>
                <w:webHidden/>
              </w:rPr>
              <w:fldChar w:fldCharType="end"/>
            </w:r>
          </w:hyperlink>
        </w:p>
        <w:p>
          <w:pPr>
            <w:pStyle w:val="TOC1"/>
            <w:tabs>
              <w:tab w:val="clear" w:pos="709"/>
              <w:tab w:val="right" w:pos="9622" w:leader="dot"/>
            </w:tabs>
            <w:rPr>
              <w:rFonts w:ascii="Cambria" w:hAnsi="Cambria" w:eastAsia="" w:cs="" w:asciiTheme="minorHAnsi" w:cstheme="minorBidi" w:eastAsiaTheme="minorEastAsia" w:hAnsiTheme="minorHAnsi"/>
              <w:sz w:val="22"/>
              <w:szCs w:val="22"/>
              <w:lang w:val="ru-RU"/>
            </w:rPr>
          </w:pPr>
          <w:hyperlink w:anchor="_Toc225707616">
            <w:r>
              <w:rPr>
                <w:webHidden/>
                <w:rStyle w:val="IndexLink"/>
                <w:vanish w:val="false"/>
                <w:lang w:val="ru-RU"/>
              </w:rPr>
              <w:t>Библиографический список</w:t>
            </w:r>
            <w:r>
              <w:rPr>
                <w:webHidden/>
              </w:rPr>
              <w:fldChar w:fldCharType="begin"/>
            </w:r>
            <w:r>
              <w:rPr>
                <w:webHidden/>
              </w:rPr>
              <w:instrText xml:space="preserve">PAGEREF _Toc225707616 \h</w:instrText>
            </w:r>
            <w:r>
              <w:rPr>
                <w:webHidden/>
              </w:rPr>
              <w:fldChar w:fldCharType="separate"/>
            </w:r>
            <w:r>
              <w:rPr>
                <w:rStyle w:val="IndexLink"/>
                <w:vanish w:val="false"/>
              </w:rPr>
              <w:tab/>
              <w:t>53</w:t>
            </w:r>
            <w:r>
              <w:rPr>
                <w:webHidden/>
              </w:rPr>
              <w:fldChar w:fldCharType="end"/>
            </w:r>
          </w:hyperlink>
          <w:r>
            <w:rPr>
              <w:rStyle w:val="IndexLink"/>
              <w:vanish w:val="false"/>
            </w:rPr>
            <w:fldChar w:fldCharType="end"/>
          </w:r>
        </w:p>
      </w:sdtContent>
    </w:sdt>
    <w:p>
      <w:pPr>
        <w:pStyle w:val="Normal"/>
        <w:widowControl/>
        <w:bidi w:val="0"/>
        <w:spacing w:lineRule="auto" w:line="360" w:before="0" w:after="0"/>
        <w:ind w:firstLine="708"/>
        <w:jc w:val="both"/>
        <w:rPr/>
      </w:pPr>
      <w:r>
        <w:rPr/>
      </w:r>
    </w:p>
    <w:p>
      <w:pPr>
        <w:pStyle w:val="Normal"/>
        <w:rPr/>
      </w:pPr>
      <w:r>
        <w:rPr/>
      </w:r>
      <w:r>
        <w:br w:type="page"/>
      </w:r>
    </w:p>
    <w:p>
      <w:pPr>
        <w:pStyle w:val="Heading1"/>
        <w:spacing w:before="0" w:after="0"/>
        <w:jc w:val="center"/>
        <w:rPr/>
      </w:pPr>
      <w:bookmarkStart w:id="5" w:name="_Toc225707576"/>
      <w:r>
        <w:rPr/>
        <w:t>ВВЕДЕНИЕ</w:t>
      </w:r>
      <w:bookmarkEnd w:id="5"/>
    </w:p>
    <w:p>
      <w:pPr>
        <w:pStyle w:val="Normal"/>
        <w:ind w:firstLine="720"/>
        <w:rPr/>
      </w:pPr>
      <w:r>
        <w:rPr/>
        <w:t>В условиях цифровизации кредитно-финансовых организаций и широкого внедрения беспроводных технологий Wi-Fi существенно возрастает роль обеспечения информационной безопасности и контроля состояния сетевой инфраструктуры. Одной из актуальных угроз является использование незарегистрированных (несанкционированных) точек доступа Wi-Fi, которые могут быть установлены как умышленно, так и в результате нарушения регламентов эксплуатации. Подобные устройства формируют неконтролируемые каналы передачи данных, повышают риск несанкционированного доступа к внутренним ресурсам и могут использоваться для реализации атак на корпоративные информационные системы. При этом существенной проблемой является ограниченная наблюдаемость радиосреды, обусловленная динамическим характером беспроводных коммуникаций и отсутствием централизованных механизмов контроля всех источников излучения.</w:t>
      </w:r>
    </w:p>
    <w:p>
      <w:pPr>
        <w:pStyle w:val="Normal"/>
        <w:ind w:firstLine="720"/>
        <w:rPr/>
      </w:pPr>
      <w:r>
        <w:rPr/>
        <w:t>В существующей практике обеспечения безопасности беспроводных сетей задачи обнаружения несанкционированных устройств решаются с использованием специализированных систем класса WIDS/WIPS, а также различных средств мониторинга сетевого трафика и радиочастотного спектра. Указанные решения, как правило, ориентированы на активное взаимодействие с инфраструктурой или требуют развёртывания специализированного оборудования, что приводит к увеличению стоимости внедрения и усложнению эксплуатации. В научных исследованиях широко рассматриваются методы обнаружения и идентификации источников излучения, включая анализ идентификаторов беспроводных устройств, оценку параметров радиосигнала, а также использование поведенческих характеристик сетевой активности. Вместе с тем большинство существующих подходов либо ориентировано на построение высокоточных моделей, требующих значительных вычислительных и инфраструктурных ресурсов, либо не обеспечивает достаточной адаптации к условиям практической эксплуатации в кредитно-финансовых организациях. Недостаточно проработанными остаются вопросы построения распределённых пассивных систем радиомониторинга, интеграции разнородных признаков (логических, поведенческих и физических), а также обеспечения высокой наблюдаемости радиосреды при ограниченных ресурсах.</w:t>
      </w:r>
    </w:p>
    <w:p>
      <w:pPr>
        <w:pStyle w:val="Normal"/>
        <w:ind w:firstLine="720"/>
        <w:rPr/>
      </w:pPr>
      <w:r>
        <w:rPr/>
        <w:t>В этой связи целью данной работы является разработка мультимодальной модели обнаружения незарегистрированных Wi-Fi точек доступа, обеспечивающей повышение эффективности их выявления и сокращение области поиска источников излучения в условиях эксплуатации в кредитно-финансовых организациях. Предлагаемый подход ориентирован на построение распределённой системы пассивного радиомониторинга, объединяющей данные различных типов и обеспечивающей поддержку принятия решений оператором за счёт формирования событий обнаружения и их последующей корреляции.</w:t>
      </w:r>
    </w:p>
    <w:p>
      <w:pPr>
        <w:pStyle w:val="Normal"/>
        <w:ind w:firstLine="720"/>
        <w:rPr/>
      </w:pPr>
      <w:r>
        <w:rPr/>
        <w:t>Для достижения поставленной цели в работе решаются следующие задачи: проведение анализа принципов функционирования беспроводных сетей Wi-Fi и характеристик источников радиосигнала; исследование угроз, связанных с использованием незарегистрированных точек доступа в кредитно-финансовых организациях; обзор и анализ существующих подходов и решений по обнаружению несанкционированных беспроводных устройств, включая системы класса WIDS/WIPS; формирование требований к системе пассивного радиомониторинга; разработка алгоритма обнаружения источников излучения на основе мультимодального анализа признаков; разработка и реализация программно-аппаратного комплекса, обеспечивающего сбор и обработку радиометаданных; а также оценка эффективности предложенного подхода в условиях, приближенных к практической эксплуатации.</w:t>
      </w:r>
    </w:p>
    <w:p>
      <w:pPr>
        <w:pStyle w:val="Normal"/>
        <w:ind w:firstLine="720"/>
        <w:rPr/>
      </w:pPr>
      <w:r>
        <w:rPr/>
        <w:t>Объектом исследования является беспроводная радиосреда и сетевая инфраструктура кредитно-финансовых организаций в части функционирования Wi-Fi устройств и точек доступа.</w:t>
      </w:r>
    </w:p>
    <w:p>
      <w:pPr>
        <w:pStyle w:val="Normal"/>
        <w:ind w:firstLine="720"/>
        <w:rPr/>
      </w:pPr>
      <w:r>
        <w:rPr/>
        <w:t>Предметом исследования являются методы и алгоритмы пассивного обнаружения незарегистрированных Wi-Fi точек доступа, основанные на анализе параметров радиосигнала, идентификаторов беспроводных устройств и характеристик их сетевой активности.</w:t>
      </w:r>
    </w:p>
    <w:p>
      <w:pPr>
        <w:pStyle w:val="Normal"/>
        <w:ind w:firstLine="720"/>
        <w:rPr/>
      </w:pPr>
      <w:r>
        <w:rPr/>
        <w:t>В рамках работы рассматриваются вопросы организации пассивного радиомониторинга, особенности сбора и агрегации данных в условиях распределённой сенсорной инфраструктуры, методы выделения и использования мультимодальных признаков, включая логические, поведенческие и физические параметры, а также подходы к формированию событий обнаружения, их корреляции и последующему выявлению инцидентов информационной безопасности. Отдельное внимание уделяется ограничениям, связанным с дискретным и вероятностным характером наблюдения радиосреды, а также влиянию архитектурных и ресурсных факторов на эффективность обнаружения источников излучения.</w:t>
      </w:r>
    </w:p>
    <w:p>
      <w:pPr>
        <w:pStyle w:val="Normal"/>
        <w:ind w:firstLine="720"/>
        <w:rPr/>
      </w:pPr>
      <w:bookmarkStart w:id="6" w:name="_w84lxm7k5jmq"/>
      <w:bookmarkEnd w:id="6"/>
      <w:r>
        <w:rPr/>
        <w:t>Для достижения поставленной цели в работе решаются следующие задачи: проведение анализа принципов функционирования беспроводных сетей Wi-Fi и характеристик источников радиосигнала; исследование угроз, связанных с использованием незарегистрированных точек доступа в кредитно-финансовых организациях; обзор и анализ существующих подходов и решений по обнаружению несанкционированных беспроводных устройств, включая системы класса WIDS/WIPS; формирование требований к системе пассивного радиомониторинга; разработка алгоритма обнаружения источников излучения на основе мультимодального анализа признаков; разработка и реализация программно-аппаратного комплекса, обеспечивающего сбор и обработку радиометаданных; а также оценка эффективности предложенного подхода в условиях, приближенных к практической эксплуатации.</w:t>
      </w:r>
    </w:p>
    <w:p>
      <w:pPr>
        <w:pStyle w:val="Normal"/>
        <w:ind w:firstLine="720"/>
        <w:rPr/>
      </w:pPr>
      <w:r>
        <w:rPr/>
        <w:t>Объектом исследования является беспроводная радиосреда и сетевая инфраструктура кредитно-финансовых организаций в части функционирования Wi-Fi устройств и точек доступа. Предметом исследования являются методы и алгоритмы пассивного обнаружения незарегистрированных Wi-Fi точек доступа, основанные на анализе параметров радиосигнала, идентификаторов беспроводных устройств и характеристик их сетевой активности.</w:t>
      </w:r>
    </w:p>
    <w:p>
      <w:pPr>
        <w:pStyle w:val="Normal"/>
        <w:ind w:firstLine="720"/>
        <w:rPr/>
      </w:pPr>
      <w:r>
        <w:rPr/>
        <w:t>В рамках работы рассматриваются вопросы организации пассивного радиомониторинга, особенности сбора и агрегации данных в условиях распределённой сенсорной инфраструктуры, методы выделения и использования мультимодальных признаков, включая логические, поведенческие и физические параметры, а также подходы к формированию событий обнаружения, их корреляции и последующему выявлению инцидентов информационной безопасности. Отдельное внимание уделяется ограничениям, связанным с дискретным и вероятностным характером наблюдения радиосреды, а также влиянию архитектурных и ресурсных факторов на эффективность обнаружения источников излучения.</w:t>
      </w:r>
      <w:r>
        <w:br w:type="page"/>
      </w:r>
    </w:p>
    <w:p>
      <w:pPr>
        <w:pStyle w:val="Heading1"/>
        <w:keepNext w:val="true"/>
        <w:keepLines/>
        <w:widowControl/>
        <w:suppressAutoHyphens w:val="true"/>
        <w:bidi w:val="0"/>
        <w:spacing w:lineRule="auto" w:line="360" w:before="0" w:after="0"/>
        <w:ind w:hanging="0" w:left="0" w:right="0"/>
        <w:jc w:val="center"/>
        <w:rPr/>
      </w:pPr>
      <w:bookmarkStart w:id="7" w:name="_Toc225707577"/>
      <w:bookmarkStart w:id="8" w:name="_abpcbravl1kl"/>
      <w:bookmarkEnd w:id="8"/>
      <w:r>
        <w:rPr/>
        <w:t>СПИСОК ТЕРМИНОВ И ОПРЕДЕЛЕНИЙ</w:t>
      </w:r>
      <w:bookmarkEnd w:id="7"/>
    </w:p>
    <w:p>
      <w:pPr>
        <w:pStyle w:val="Normal"/>
        <w:ind w:hanging="0"/>
        <w:rPr/>
      </w:pPr>
      <w:r>
        <w:rPr/>
      </w:r>
    </w:p>
    <w:p>
      <w:pPr>
        <w:pStyle w:val="Heading1"/>
        <w:jc w:val="left"/>
        <w:rPr/>
      </w:pPr>
      <w:r>
        <w:rPr/>
      </w:r>
      <w:bookmarkStart w:id="9" w:name="_6uqstaz9lo2c"/>
      <w:bookmarkStart w:id="10" w:name="_6uqstaz9lo2c"/>
      <w:bookmarkEnd w:id="10"/>
      <w:r>
        <w:br w:type="page"/>
      </w:r>
    </w:p>
    <w:p>
      <w:pPr>
        <w:pStyle w:val="Heading1"/>
        <w:spacing w:before="0" w:after="0"/>
        <w:jc w:val="center"/>
        <w:rPr/>
      </w:pPr>
      <w:bookmarkStart w:id="11" w:name="_Toc225707578"/>
      <w:r>
        <w:rPr/>
        <w:t>ГЛАВА 1. ТЕОРЕТИЧЕСКИЕ ОСНОВЫ ОБНАРУЖЕНИЯ БЕСПРОВОДНЫХ ИСТОЧНИКОВ ИЗЛУЧЕНИЯ</w:t>
      </w:r>
      <w:bookmarkEnd w:id="11"/>
    </w:p>
    <w:p>
      <w:pPr>
        <w:pStyle w:val="Heading2"/>
        <w:ind w:firstLine="720"/>
        <w:rPr/>
      </w:pPr>
      <w:bookmarkStart w:id="12" w:name="_Toc225707579"/>
      <w:r>
        <w:rPr/>
        <w:t>1.1 Основные принципы функционирования беспроводных сетей Wi-Fi</w:t>
      </w:r>
      <w:bookmarkEnd w:id="12"/>
    </w:p>
    <w:p>
      <w:pPr>
        <w:pStyle w:val="Heading3"/>
        <w:ind w:firstLine="720"/>
        <w:rPr/>
      </w:pPr>
      <w:bookmarkStart w:id="13" w:name="_Toc225707580"/>
      <w:bookmarkStart w:id="14" w:name="_iaqvr84qsy5u"/>
      <w:bookmarkEnd w:id="14"/>
      <w:r>
        <w:rPr/>
        <w:t>1.1.1 Введение в принципы Wi-Fi и задачи обнаружения</w:t>
      </w:r>
      <w:bookmarkEnd w:id="13"/>
    </w:p>
    <w:p>
      <w:pPr>
        <w:pStyle w:val="Normal"/>
        <w:ind w:firstLine="720"/>
        <w:rPr/>
      </w:pPr>
      <w:r>
        <w:rPr/>
        <w:t>Современные беспроводные сети Wi-Fi являются ключевым элементом инфраструктуры офисов, банков и коммерческих организаций. Они позволяют клиентским устройствам подключаться к корпоративной сети без прокладывания кабелей, обеспечивая мобильность и гибкость работы. Основой таких сетей служат стандарты IEEE 802.11</w:t>
      </w:r>
      <w:r>
        <w:rPr>
          <w:lang w:val="ru-RU"/>
        </w:rPr>
        <w:t xml:space="preserve"> [1]</w:t>
      </w:r>
      <w:r>
        <w:rPr/>
        <w:t>, которые определяют принципы передачи данных, распределение частот и методы модуляции сигнала. Важным аспектом является то, что Wi-Fi использует два основных диапазона: 2,4 ГГц и 5 ГГц, каждый из которых имеет свои особенности по количеству доступных каналов, ширине каналов и устойчивости к помехам. Выбор диапазона напрямую влияет на скорость передачи данных, стабильность соединения и возможности наблюдения за радиосредой.</w:t>
      </w:r>
    </w:p>
    <w:p>
      <w:pPr>
        <w:pStyle w:val="Normal"/>
        <w:ind w:firstLine="720"/>
        <w:rPr/>
      </w:pPr>
      <w:r>
        <w:rPr/>
        <w:t>Сеть Wi-Fi обычно состоит из точек доступа и клиентских устройств, таких как ноутбуки, планшеты и смартфоны. Точки доступа управляют организацией сети, распределением каналов и взаимодействием с клиентами. Кроме того, возможен режим прямого соединения между устройствами без участия точки доступа, при котором устройства самостоятельно устанавливают связь и обмениваются данными. Радиосигнал в помещении подвержен различным физическим ограничениям: он затухает с расстоянием, отражается от стен и мебели, рассеивается или экранируется металлическими конструкциями. Эти эффекты создают неоднородную среду распространения сигнала, которая напрямую влияет на возможности обнаружения устройств и точность локализации источников.</w:t>
      </w:r>
    </w:p>
    <w:p>
      <w:pPr>
        <w:pStyle w:val="Normal"/>
        <w:ind w:firstLine="720"/>
        <w:rPr/>
      </w:pPr>
      <w:r>
        <w:rPr/>
        <w:t>Для практического анализа работы сети и проектирования системы обнаружения необходимо учитывать различия диапазонов по техническим характеристикам и физическим свойствам радиосигнала. В таблице 1 представлено краткое сравнение диапазонов 2,4 и 5 ГГц.</w:t>
      </w:r>
    </w:p>
    <w:p>
      <w:pPr>
        <w:pStyle w:val="Normal"/>
        <w:spacing w:lineRule="auto" w:line="240"/>
        <w:ind w:hanging="0"/>
        <w:jc w:val="right"/>
        <w:rPr/>
      </w:pPr>
      <w:r>
        <w:rPr/>
        <w:t>Таблица 1</w:t>
      </w:r>
    </w:p>
    <w:p>
      <w:pPr>
        <w:pStyle w:val="Normal"/>
        <w:spacing w:lineRule="auto" w:line="240"/>
        <w:ind w:hanging="0"/>
        <w:jc w:val="center"/>
        <w:rPr/>
      </w:pPr>
      <w:r>
        <w:rPr/>
        <w:t>Сравнение параметров и характеристик диапазонов Wi-Fi</w:t>
      </w:r>
    </w:p>
    <w:tbl>
      <w:tblPr>
        <w:tblStyle w:val="a5"/>
        <w:tblW w:w="9249" w:type="dxa"/>
        <w:jc w:val="left"/>
        <w:tblInd w:w="0" w:type="dxa"/>
        <w:tblLayout w:type="fixed"/>
        <w:tblCellMar>
          <w:top w:w="100" w:type="dxa"/>
          <w:left w:w="100" w:type="dxa"/>
          <w:bottom w:w="100" w:type="dxa"/>
          <w:right w:w="100" w:type="dxa"/>
        </w:tblCellMar>
        <w:tblLook w:val="0600" w:noHBand="1" w:noVBand="1" w:firstColumn="0" w:lastRow="0" w:lastColumn="0" w:firstRow="0"/>
      </w:tblPr>
      <w:tblGrid>
        <w:gridCol w:w="1177"/>
        <w:gridCol w:w="982"/>
        <w:gridCol w:w="2021"/>
        <w:gridCol w:w="5068"/>
      </w:tblGrid>
      <w:tr>
        <w:trPr/>
        <w:tc>
          <w:tcPr>
            <w:tcW w:w="1177"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Диапазон</w:t>
            </w:r>
          </w:p>
        </w:tc>
        <w:tc>
          <w:tcPr>
            <w:tcW w:w="982"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Каналы</w:t>
            </w:r>
          </w:p>
        </w:tc>
        <w:tc>
          <w:tcPr>
            <w:tcW w:w="2021"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Ширина канала</w:t>
            </w:r>
          </w:p>
        </w:tc>
        <w:tc>
          <w:tcPr>
            <w:tcW w:w="5068"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Примечания</w:t>
            </w:r>
          </w:p>
        </w:tc>
      </w:tr>
      <w:tr>
        <w:trPr>
          <w:trHeight w:val="748" w:hRule="atLeast"/>
        </w:trPr>
        <w:tc>
          <w:tcPr>
            <w:tcW w:w="1177"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2,4 ГГц</w:t>
            </w:r>
          </w:p>
        </w:tc>
        <w:tc>
          <w:tcPr>
            <w:tcW w:w="982"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1-13</w:t>
            </w:r>
          </w:p>
        </w:tc>
        <w:tc>
          <w:tcPr>
            <w:tcW w:w="2021"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20/40 МГц</w:t>
            </w:r>
          </w:p>
        </w:tc>
        <w:tc>
          <w:tcPr>
            <w:tcW w:w="5068"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lang w:val="ru-RU"/>
              </w:rPr>
            </w:pPr>
            <w:r>
              <w:rPr>
                <w:sz w:val="24"/>
                <w:szCs w:val="24"/>
              </w:rPr>
              <w:t>широкий диапазон, высокая вероятность помех</w:t>
            </w:r>
          </w:p>
        </w:tc>
      </w:tr>
      <w:tr>
        <w:trPr>
          <w:trHeight w:val="624" w:hRule="atLeast"/>
        </w:trPr>
        <w:tc>
          <w:tcPr>
            <w:tcW w:w="1177"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5 ГГц</w:t>
            </w:r>
          </w:p>
        </w:tc>
        <w:tc>
          <w:tcPr>
            <w:tcW w:w="982"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36-165</w:t>
            </w:r>
          </w:p>
        </w:tc>
        <w:tc>
          <w:tcPr>
            <w:tcW w:w="2021"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20/40/70/160 МГц</w:t>
            </w:r>
          </w:p>
        </w:tc>
        <w:tc>
          <w:tcPr>
            <w:tcW w:w="5068"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меньше помех, кратковременные блокировки</w:t>
            </w:r>
          </w:p>
        </w:tc>
      </w:tr>
    </w:tbl>
    <w:p>
      <w:pPr>
        <w:pStyle w:val="Normal"/>
        <w:ind w:firstLine="720"/>
        <w:rPr/>
      </w:pPr>
      <w:r>
        <w:rPr/>
        <w:t>В таблице 1 представлены диапазоны Wi-Fi, количество доступных каналов, их ширина и основные эксплуатационные особенности. Видно, что диапазон 2,4 ГГц включает 13 каналов с шириной 20 или 40 МГц, что делает его более подверженным взаимным помехам между соседними точками доступа и сторонними устройствами, использующими тот же диапазон, например, беспроводные телефоны и микроволновые печи. Диапазон 5 ГГц имеет значительно больше каналов с шириной до 160 МГц, что позволяет лучше разделять сигналы различных точек доступа и снижает вероятность перекрытия частот. Исходя из этого, для проектирования программно-аппаратного комплекса важно учитывать не только диапазон работы сенсорных узлов, но и возможное влияние помех, плотность каналов и ширину используемого канала, так как эти факторы напрямую определяют стабильность приёма кадров, измеряемую мощность сигнала и, в конечном счёте, точность обнаружения и локализации источников. Кроме того, видно, что меньший диапазон каналов 2,4 ГГц может создавать зоны с высокой интерференцией, особенно в офисных помещениях с плотной концентрацией электронных устройств, тогда как 5 ГГц обеспечивает более чистую среду, но ограничен более короткой дальностью распространения сигнала и сильным затуханием через стены.</w:t>
      </w:r>
    </w:p>
    <w:p>
      <w:pPr>
        <w:pStyle w:val="Heading3"/>
        <w:ind w:firstLine="720"/>
        <w:rPr/>
      </w:pPr>
      <w:bookmarkStart w:id="15" w:name="_Toc225707581"/>
      <w:bookmarkStart w:id="16" w:name="_wuphvxj3ictz"/>
      <w:bookmarkEnd w:id="16"/>
      <w:r>
        <w:rPr/>
        <w:t>1.1.2 Кадры Wi-Fi и режимы работы</w:t>
      </w:r>
      <w:bookmarkEnd w:id="15"/>
    </w:p>
    <w:p>
      <w:pPr>
        <w:pStyle w:val="Normal"/>
        <w:ind w:firstLine="720"/>
        <w:rPr/>
      </w:pPr>
      <w:r>
        <w:rPr/>
        <w:t>В беспроводных сетях Wi-Fi передача данных и служебной информации организована с помощью различных типов кадров. Служебные кадры Beacon периодически рассылаются точками доступа для информирования клиентов о существующей сети, её идентификаторе, используемом канале и мощности сигнала. Запросы клиентов и ответы точек доступа (Probe Request и Probe Response) обеспечивают обнаружение сетей, включая скрытые, и обмен служебной информацией при установлении соединений. Кадры данных (Data Frames) используются для передачи пользовательских данных и содержат служебные поля, необходимые для маршрутизации и корректной доставки пакетов. Каждый тип кадра имеет определенную структуру, состав полей и периодичность передачи, что формирует основу для анализа активности сети и идентификации ее участников.</w:t>
      </w:r>
    </w:p>
    <w:p>
      <w:pPr>
        <w:pStyle w:val="Normal"/>
        <w:ind w:firstLine="720"/>
        <w:jc w:val="right"/>
        <w:rPr/>
      </w:pPr>
      <w:r>
        <w:rPr/>
        <w:t>Таблица 2</w:t>
      </w:r>
    </w:p>
    <w:p>
      <w:pPr>
        <w:pStyle w:val="Normal"/>
        <w:ind w:hanging="0"/>
        <w:jc w:val="center"/>
        <w:rPr/>
      </w:pPr>
      <w:r>
        <w:rPr/>
        <w:t>Основные типы кадров Wi-Fi</w:t>
      </w:r>
    </w:p>
    <w:tbl>
      <w:tblPr>
        <w:tblStyle w:val="a6"/>
        <w:tblW w:w="9600" w:type="dxa"/>
        <w:jc w:val="left"/>
        <w:tblInd w:w="0" w:type="dxa"/>
        <w:tblLayout w:type="fixed"/>
        <w:tblCellMar>
          <w:top w:w="100" w:type="dxa"/>
          <w:left w:w="100" w:type="dxa"/>
          <w:bottom w:w="100" w:type="dxa"/>
          <w:right w:w="100" w:type="dxa"/>
        </w:tblCellMar>
        <w:tblLook w:val="0600" w:noHBand="1" w:noVBand="1" w:firstColumn="0" w:lastRow="0" w:lastColumn="0" w:firstRow="0"/>
      </w:tblPr>
      <w:tblGrid>
        <w:gridCol w:w="1393"/>
        <w:gridCol w:w="2567"/>
        <w:gridCol w:w="2580"/>
        <w:gridCol w:w="3059"/>
      </w:tblGrid>
      <w:tr>
        <w:trPr/>
        <w:tc>
          <w:tcPr>
            <w:tcW w:w="1393"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Кадр</w:t>
            </w:r>
          </w:p>
        </w:tc>
        <w:tc>
          <w:tcPr>
            <w:tcW w:w="2567"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Содержимое</w:t>
            </w:r>
          </w:p>
        </w:tc>
        <w:tc>
          <w:tcPr>
            <w:tcW w:w="258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Режим обнаружения</w:t>
            </w:r>
          </w:p>
        </w:tc>
        <w:tc>
          <w:tcPr>
            <w:tcW w:w="3059"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Примечания</w:t>
            </w:r>
          </w:p>
        </w:tc>
      </w:tr>
      <w:tr>
        <w:trPr/>
        <w:tc>
          <w:tcPr>
            <w:tcW w:w="1393"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Beacon</w:t>
            </w:r>
          </w:p>
        </w:tc>
        <w:tc>
          <w:tcPr>
            <w:tcW w:w="2567"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Идентификатор сети, адрес точки доступа, мощность, канал</w:t>
            </w:r>
          </w:p>
        </w:tc>
        <w:tc>
          <w:tcPr>
            <w:tcW w:w="258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Основной источник идентификации точки доступа</w:t>
            </w:r>
          </w:p>
        </w:tc>
      </w:tr>
      <w:tr>
        <w:trPr/>
        <w:tc>
          <w:tcPr>
            <w:tcW w:w="1393"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Probe Request</w:t>
            </w:r>
          </w:p>
        </w:tc>
        <w:tc>
          <w:tcPr>
            <w:tcW w:w="2567"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Адрес клиента, запрашиваемый идентификатор сети</w:t>
            </w:r>
          </w:p>
        </w:tc>
        <w:tc>
          <w:tcPr>
            <w:tcW w:w="258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Клиенты инициируют сканирование</w:t>
            </w:r>
          </w:p>
        </w:tc>
      </w:tr>
      <w:tr>
        <w:trPr/>
        <w:tc>
          <w:tcPr>
            <w:tcW w:w="1393"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Probe Response</w:t>
            </w:r>
          </w:p>
        </w:tc>
        <w:tc>
          <w:tcPr>
            <w:tcW w:w="2567"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Ответ точки доступа на запрос</w:t>
            </w:r>
          </w:p>
        </w:tc>
        <w:tc>
          <w:tcPr>
            <w:tcW w:w="258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Может раскрыть скрытые идентификаторы сети</w:t>
            </w:r>
          </w:p>
        </w:tc>
      </w:tr>
      <w:tr>
        <w:trPr/>
        <w:tc>
          <w:tcPr>
            <w:tcW w:w="1393"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Data Frames</w:t>
            </w:r>
          </w:p>
        </w:tc>
        <w:tc>
          <w:tcPr>
            <w:tcW w:w="2567"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Пользовательские данные</w:t>
            </w:r>
          </w:p>
        </w:tc>
        <w:tc>
          <w:tcPr>
            <w:tcW w:w="258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Обычно игнорируется</w:t>
            </w:r>
          </w:p>
        </w:tc>
      </w:tr>
    </w:tbl>
    <w:p>
      <w:pPr>
        <w:pStyle w:val="Normal"/>
        <w:ind w:firstLine="720"/>
        <w:rPr/>
      </w:pPr>
      <w:r>
        <w:rPr/>
        <w:t>В таблице 2 представлены основные типы кадров Wi-Fi, которые передают служебную и пользовательскую информацию. Из представленных кадров все, кроме Probe Request, содержат уникальный адрес точки доступа BSSID, а служебный кадр Beacon также содержит несколько идентификатор сети SSID, если сеть не скрытая, канал передачи, мощность сигнала и таймеры Beacon Interval, определяющие периодичность рассылки. В структуре кадра также присутствуют дополнительные параметры, такие как поддерживаемые скорости передачи данных, режимы защиты и информация о стандартах 802.11, поддерживаемых точкой доступа. Запрос клиента (Probe Request) включает адрес устройства, запрашиваемый идентификатор сети и список поддерживаемых стандартов и скоростей. Ответ точки доступа (Probe Response) отражает аналогичную структуру Beacon и содержит идентификатор сети, BSSID, канал и мощность, а также дополнительные сведения о параметрах сети, включая возможности шифрования, тайминги и поддерживаемые частоты. Кадры данных (Data Frames) состоят из служебного заголовка, содержащего адреса отправителя и получателя, тип кадра, управляющие поля и контрольную сумму, а также пользовательские данные, которые могут быть зашифрованы. Каждый кадр снабжён временной меткой приёма и последовательностью фрагментов для корректной сборки пакетов. Таким образом, структура и поля каждого типа кадра позволяют различать точки доступа, клиентские устройства и передаваемую информацию, а также фиксировать временные и частотные характеристики передачи.</w:t>
      </w:r>
    </w:p>
    <w:p>
      <w:pPr>
        <w:pStyle w:val="Normal"/>
        <w:rPr/>
      </w:pPr>
      <w:r>
        <w:rPr/>
        <w:t>Для анализа беспроводной среды и идентификации источников радиосигнала основными измеряемыми параметрами являются уникальные адреса устройств (MAC/BSSID), мощность принимаемого сигнала (RSSI), канал передачи и тип кадра с временной меткой. RSSI позволяет оценивать относительное расстояние до источника и выявлять зоны затухания и отражений. MAC-адрес и BSSID обеспечивают уникальную идентификацию точек доступа и клиентских устройств, за исключением точек злоумышленников, копирующих эти параметры от санкционированных устройств, а канал передачи фиксирует частотное распределение радиосигнала. Тип кадра и временная метка приёма позволяют разделять служебные и пользовательские сообщения, а также упорядочивать события по времени для анализа активности сети. Совокупность этих параметров создаёт базу для последующего построения моделей распространения сигнала и анализа структуры беспроводной сети.</w:t>
      </w:r>
    </w:p>
    <w:p>
      <w:pPr>
        <w:pStyle w:val="Normal"/>
        <w:rPr/>
      </w:pPr>
      <w:r>
        <w:rPr/>
        <w:t>Исходя из физических и технических ограничений, фиксирование параметров беспроводной сети обладает рядом принципиальных ограничений. Пассивное наблюдение не позволяет обнаружить устройства, которые не излучают радиосигнал, включая скрытые прослушивающие устройства. Мощность принимаемого сигнала нестабильна из-за отражений, многолучевого распространения и влияния препятствий, что требует усреднения и статистической обработки данных. Разделение каналов и плотность радиосреды ограничивают точность оценки параметров, особенно в диапазоне 2,4 ГГц с высокой вероятностью перекрытия сигналов. В целом, эти факторы определяют границы применимости методов измерений и создают необходимость учитывать вариативность среды и технические характеристики антенн при анализе активности беспроводных устройств.</w:t>
      </w:r>
    </w:p>
    <w:p>
      <w:pPr>
        <w:pStyle w:val="Heading2"/>
        <w:ind w:firstLine="720"/>
        <w:rPr/>
      </w:pPr>
      <w:bookmarkStart w:id="17" w:name="_Toc225707583"/>
      <w:r>
        <w:rPr/>
        <w:t>1.2 Классификация источников радиосигналов и характеристика параметров Wi-Fi точек доступа</w:t>
      </w:r>
      <w:bookmarkEnd w:id="17"/>
    </w:p>
    <w:p>
      <w:pPr>
        <w:pStyle w:val="Heading3"/>
        <w:ind w:firstLine="720"/>
        <w:rPr/>
      </w:pPr>
      <w:bookmarkStart w:id="18" w:name="_Toc225707584"/>
      <w:bookmarkStart w:id="19" w:name="_nwuwta22xkkd"/>
      <w:bookmarkEnd w:id="19"/>
      <w:r>
        <w:rPr/>
        <w:t>1.2.1 Классификация по типу устройства</w:t>
      </w:r>
      <w:bookmarkEnd w:id="18"/>
    </w:p>
    <w:p>
      <w:pPr>
        <w:pStyle w:val="Normal"/>
        <w:rPr/>
      </w:pPr>
      <w:r>
        <w:rPr/>
        <w:t>Радиосигнал в диапазонах Wi-Fi излучают различные устройства, каждое из которых имеет характерный профиль активности. Точки доступа (AP) – центральные элементы сети, которые периодически рассылают служебные кадры Beacon для информирования клиентов о существующей сети, её идентификаторе, канале и мощности сигнала. Активность точек доступа стабильна и регулярна: Beacon кадры передаются с постоянным интервалом, а Probe Response возникают в ответ на запросы клиентов. Клиентские устройства, включая ноутбуки, планшеты и смартфоны, характеризуются более динамичным поведением: они периодически инициируют Probe Request для обнаружения сетей, активно соединяются с точками доступа при необходимости передачи данных и могут изменять своё состояние в зависимости от активности пользователя или энергосбережения. IoT-устройства и периферийные элементы, такие как принтеры или камеры, могут иметь как регулярный, так и нерегулярный характер излучения: некоторые постоянно поддерживают связь с сервером, другие включаются периодически или только при событии. При этом каждое устройство можно различить по частоте и периодичности кадров, а также по типам кадров, которые оно генерирует, что позволяет классифицировать источники и отслеживать их активность в сети.</w:t>
      </w:r>
    </w:p>
    <w:p>
      <w:pPr>
        <w:pStyle w:val="Heading3"/>
        <w:rPr/>
      </w:pPr>
      <w:bookmarkStart w:id="20" w:name="_Toc225707585"/>
      <w:bookmarkStart w:id="21" w:name="_92y76grk4f5s"/>
      <w:bookmarkEnd w:id="21"/>
      <w:r>
        <w:rPr/>
        <w:t>1.2.2 Классификация по статусу в сети</w:t>
      </w:r>
      <w:bookmarkEnd w:id="20"/>
    </w:p>
    <w:p>
      <w:pPr>
        <w:pStyle w:val="Normal"/>
        <w:rPr/>
      </w:pPr>
      <w:r>
        <w:rPr/>
        <w:t>Источники радиосигнала можно классифицировать по статусу в сети, что отражает их легитимность и назначение. Легитимные устройства включают зарегистрированные точки доступа и клиентские устройства, внесённые в «белый список». Их активность предсказуема: точки доступа регулярно рассылают Beacon, клиенты инициируют соединение в моменты необходимости передачи данных или поиска сети. Незарегистрированные устройства (rogue AP) – точки доступа, не санкционированные организацией. Они могут вести себя как обычные точки доступа, рассылать Beacon и отвечать на Probe, но их появление вне белого списка делает их выявление критически важным. Такие устройства могут иметь случайную или преднамеренно нерегулярную активность, чтобы затруднить обнаружение. Поддельные точки доступа (Evil Twin) имитируют легитимные SSID, активно отвечают на Probe запросы и создают ложную картину сети. Их активность часто синхронизирована с клиентскими запросами, и они могут быть как постоянно активными, так и включаться только при обнаружении клиентов. Устройства с изменяемым MAC-адресом периодически меняют идентификатор для обхода идентификации; их Beacon и Probe кадры могут появляться с высокой периодичностью или нерегулярно, что создаёт сложную динамику сети и требует внимательного анализа временных характеристик активности.</w:t>
      </w:r>
    </w:p>
    <w:p>
      <w:pPr>
        <w:pStyle w:val="Heading3"/>
        <w:rPr/>
      </w:pPr>
      <w:bookmarkStart w:id="22" w:name="_Toc225707586"/>
      <w:bookmarkStart w:id="23" w:name="_6y832y37kk95"/>
      <w:bookmarkEnd w:id="23"/>
      <w:r>
        <w:rPr/>
        <w:t>1.2.3 Классификация по активности и способу передачи</w:t>
      </w:r>
      <w:bookmarkEnd w:id="22"/>
    </w:p>
    <w:p>
      <w:pPr>
        <w:pStyle w:val="Normal"/>
        <w:rPr/>
      </w:pPr>
      <w:r>
        <w:rPr/>
        <w:t xml:space="preserve">Источники радиосигнала различаются по характеру передачи данных и периодичности излучения. Постоянно излучающие устройства регулярно отправляют служебные кадры, такие как Beacon, и поддерживают активные соединения с клиентами. К этой категории относятся точки доступа и некоторые IoT-устройства с непрерывной связью, их активность стабильна и предсказуема. Устройства с непостоянной активностью включают клиентские устройства и точки доступа, которые передают кадры только при необходимости: Probe Request и Probe Response возникают при поиске сети или попытке соединения, что делает их активность дискретной и нерегулярной. Пассивные устройства, которые не передают радиосигналы, не фиксируются в сети, и их присутствие выявить невозможно стандартными средствами; они действуют как </w:t>
      </w:r>
      <w:r>
        <w:rPr>
          <w:shd w:fill="FFFF00" w:val="clear"/>
        </w:rPr>
        <w:t>eavesdrop</w:t>
      </w:r>
      <w:r>
        <w:rPr/>
        <w:t xml:space="preserve"> (прослушка), наблюдая за эфиром без генерации собственного сигнала. Разделение источников по активности позволяет классифицировать устройства и прогнозировать вероятность их обнаружения в заданной временной рамке, а также понимать ограничения пассивного мониторинга и непостоянной активности клиентов.</w:t>
      </w:r>
    </w:p>
    <w:p>
      <w:pPr>
        <w:pStyle w:val="Heading3"/>
        <w:rPr/>
      </w:pPr>
      <w:bookmarkStart w:id="24" w:name="_Toc225707587"/>
      <w:bookmarkStart w:id="25" w:name="_icdi9w43pyfv"/>
      <w:bookmarkEnd w:id="25"/>
      <w:r>
        <w:rPr/>
        <w:t>1.2.4 Классификация по радиофизическим характеристикам</w:t>
      </w:r>
      <w:bookmarkEnd w:id="24"/>
    </w:p>
    <w:p>
      <w:pPr>
        <w:pStyle w:val="Normal"/>
        <w:rPr/>
      </w:pPr>
      <w:r>
        <w:rPr/>
        <w:t>Источники радиосигнала различаются по физическим параметрам, которые определяют распространение и восприятие сигнала в пространстве. Мощность передачи отражает уровень сигнала на выходе устройства и влияет на дальность его обнаружения и интенсивность приёма на сенсорных узлах. Направленность антенны определяет, как сигнал распределяется в пространстве: всенаправленные антенны создают равномерное поле вокруг устройства, тогда как направленные усиливают сигнал в определённом направлении, создавая зоны с сильным и слабым приёмом. Каналы и ширина каналов определяют частотное разделение сигналов и их способность сосуществовать в ограниченном спектре: более широкие каналы увеличивают пропускную способность, но повышают вероятность перекрытия с другими устройствами. Модели затухания описывают, как сигнал теряет мощность при прохождении через среду: наиболее распространена логарифмическая модель, учитывающая расстояние и коэффициент затухания; многолучевое распространение и отражения добавляют вариативность и искажения. Учет этих характеристик позволяет понять пространственное распределение сигнала, потенциальные зоны слабого приёма и влияние среды на измеряемые параметры радиосигнала.</w:t>
      </w:r>
    </w:p>
    <w:p>
      <w:pPr>
        <w:pStyle w:val="Heading2"/>
        <w:ind w:firstLine="720"/>
        <w:rPr/>
      </w:pPr>
      <w:bookmarkStart w:id="26" w:name="_Toc225707588"/>
      <w:r>
        <w:rPr/>
        <w:t>1.3 Методы и подходы к обнаружению и идентификации источников излучения</w:t>
      </w:r>
      <w:bookmarkEnd w:id="26"/>
    </w:p>
    <w:p>
      <w:pPr>
        <w:pStyle w:val="Heading3"/>
        <w:rPr>
          <w:lang w:val="ru-RU"/>
        </w:rPr>
      </w:pPr>
      <w:bookmarkStart w:id="27" w:name="_Toc225707589"/>
      <w:bookmarkStart w:id="28" w:name="_at8wopwtu7ar"/>
      <w:bookmarkEnd w:id="28"/>
      <w:r>
        <w:rPr/>
        <w:t xml:space="preserve">1.3.1 </w:t>
      </w:r>
      <w:r>
        <w:rPr>
          <w:lang w:val="ru-RU"/>
        </w:rPr>
        <w:t>М</w:t>
      </w:r>
      <w:r>
        <w:rPr/>
        <w:t>етоды обнаружения</w:t>
      </w:r>
      <w:r>
        <w:rPr>
          <w:lang w:val="ru-RU"/>
        </w:rPr>
        <w:t xml:space="preserve"> </w:t>
      </w:r>
      <w:r>
        <w:rPr/>
        <w:t>активных источников</w:t>
      </w:r>
      <w:bookmarkEnd w:id="27"/>
      <w:r>
        <w:rPr>
          <w:lang w:val="ru-RU"/>
        </w:rPr>
        <w:t xml:space="preserve"> </w:t>
      </w:r>
    </w:p>
    <w:p>
      <w:pPr>
        <w:pStyle w:val="Normal"/>
        <w:rPr/>
      </w:pPr>
      <w:r>
        <w:rPr/>
        <w:t>Классические методы обнаружения Wi</w:t>
        <w:noBreakHyphen/>
        <w:t>Fi источников основаны на мониторинге идентификаторов устройств и сравнении их с заранее сформированными эталонами. Основными параметрами анализа являются BSSID, SSID и MAC-адреса точек доступа и клиентских устройств. Сопоставление обнаруженных идентификаторов с белыми списками зарегистрированных устройств позволяет выявлять незарегистрированные точки доступа и потенциально несанкционированные устройства, активно функционирующие в сети.</w:t>
      </w:r>
    </w:p>
    <w:p>
      <w:pPr>
        <w:pStyle w:val="Normal"/>
        <w:rPr/>
      </w:pPr>
      <w:r>
        <w:rPr/>
        <w:t>Методы могут применяться как в режиме реального времени, так и пакетно, посредством анализа накопленных Beacon и Probe кадров. Beacon кадры рассылаются точками доступа с периодичностью, определяемой стандартом (обычно 100 мс), что обеспечивает возможность обнаружения активных устройств даже при непрерывной работе клиентских устройств. Probe Request и Probe Response кадры, инициируемые клиентами, предоставляют дополнительную информацию о присутствующих сетях и поведении устройств, включая частоту обращения и выбор каналов.</w:t>
      </w:r>
    </w:p>
    <w:p>
      <w:pPr>
        <w:pStyle w:val="Normal"/>
        <w:rPr/>
      </w:pPr>
      <w:r>
        <w:rPr/>
        <w:t>Для повышения точности обнаружения и снижения количества ложных срабатываний применяется согласование наблюдений между несколькими сенсорными узлами. Совместный анализ измерений RSSI и частотной активности позволяет фиксировать только устойчиво наблюдаемые аномалии и уменьшить влияние временной неактивности устройств.</w:t>
      </w:r>
    </w:p>
    <w:p>
      <w:pPr>
        <w:pStyle w:val="Normal"/>
        <w:rPr/>
      </w:pPr>
      <w:r>
        <w:rPr/>
        <w:t>Ключевым ограничением данных методов является их зависимость от активности источников: полностью пассивные или временно неактивные устройства остаются невидимыми. Дополнительно возможны спуфинг и клонирование MAC-адресов, создающие ложные срабатывания и усложняющие идентификацию. Применение нескольких сенсорных узлов в согласованной конфигурации снижает влияние этих факторов, однако не обеспечивает полного устранения риска ложных обнаружений.</w:t>
      </w:r>
    </w:p>
    <w:p>
      <w:pPr>
        <w:pStyle w:val="Normal"/>
        <w:ind w:firstLine="720"/>
        <w:rPr/>
      </w:pPr>
      <w:r>
        <w:rPr/>
        <w:t>Статистические и индукционные методы направлены на выявление отклонений от нормального поведения сети, когда традиционные подходы, такие как сравнение с белыми списками</w:t>
      </w:r>
      <w:r>
        <w:rPr>
          <w:lang w:val="ru-RU"/>
        </w:rPr>
        <w:t xml:space="preserve">, </w:t>
      </w:r>
      <w:r>
        <w:rPr/>
        <w:t>оказываются недостаточными. Основная идея заключается в построении моделей нормального функционирования сети на основе накопленных данных о Beacon и Data кадрах, а также измерениях мощности сигнала (RSSI), и последующем выявлении аномалий, которые могут указывать на появление незарегистрированных или поддельных источников.</w:t>
      </w:r>
    </w:p>
    <w:p>
      <w:pPr>
        <w:pStyle w:val="Normal"/>
        <w:ind w:firstLine="720"/>
        <w:rPr/>
      </w:pPr>
      <w:r>
        <w:rPr/>
        <w:t>Ключевые подходы включают следующие методы:</w:t>
      </w:r>
    </w:p>
    <w:p>
      <w:pPr>
        <w:pStyle w:val="Normal"/>
        <w:numPr>
          <w:ilvl w:val="0"/>
          <w:numId w:val="4"/>
        </w:numPr>
        <w:ind w:firstLine="708" w:left="0"/>
        <w:rPr/>
      </w:pPr>
      <w:r>
        <w:rPr/>
        <w:t>Статистический анализ распределения сигналов</w:t>
      </w:r>
      <w:r>
        <w:rPr>
          <w:lang w:val="ru-RU"/>
        </w:rPr>
        <w:t>. Анализируются</w:t>
      </w:r>
      <w:r>
        <w:rPr/>
        <w:t xml:space="preserve"> средние значения и дисперсия RSSI, распределение соотношений отправленных Beacon к Data кадрам, а также временные интервалы активности устройств. Источники, чьи показатели систематически отклоняются от эталонного поведения, классифицируются как потенциально аномальные.</w:t>
      </w:r>
    </w:p>
    <w:p>
      <w:pPr>
        <w:pStyle w:val="Normal"/>
        <w:numPr>
          <w:ilvl w:val="0"/>
          <w:numId w:val="4"/>
        </w:numPr>
        <w:ind w:firstLine="708" w:left="0"/>
        <w:rPr/>
      </w:pPr>
      <w:r>
        <w:rPr/>
        <w:t>Пространственная корреляция наблюдений</w:t>
      </w:r>
      <w:r>
        <w:rPr>
          <w:lang w:val="ru-RU"/>
        </w:rPr>
        <w:t>.</w:t>
      </w:r>
      <w:r>
        <w:rPr/>
        <w:t xml:space="preserve"> Проводится проверка согласованности сигналов между сенсорными узлами. Несоответствия сигналов, поступающих с одинаковых идентификаторов (BSSID, SSID, MAC), могут указывать на подмену точки доступа, работу репитера или наличие «evil twin». Пространственный анализ позволяет выявлять несогласованность наблюдений, недоступную при использовании только одного узла.</w:t>
      </w:r>
    </w:p>
    <w:p>
      <w:pPr>
        <w:pStyle w:val="Normal"/>
        <w:numPr>
          <w:ilvl w:val="0"/>
          <w:numId w:val="4"/>
        </w:numPr>
        <w:ind w:firstLine="708" w:left="0"/>
        <w:rPr/>
      </w:pPr>
      <w:r>
        <w:rPr/>
        <w:t>Временной анализ активности устройств. Отслеживаются повторяющиеся или нестандартные паттерны рассылки кадров, включая неожиданные циклы активности, резкие всплески сигналов или внезапное появление новых профилей поведения. Временной анализ позволяет выявлять устройства с аномальной динамикой работы, даже при низкой активности.</w:t>
      </w:r>
    </w:p>
    <w:p>
      <w:pPr>
        <w:pStyle w:val="Normal"/>
        <w:numPr>
          <w:ilvl w:val="0"/>
          <w:numId w:val="4"/>
        </w:numPr>
        <w:ind w:firstLine="708" w:left="0"/>
        <w:rPr/>
      </w:pPr>
      <w:r>
        <w:rPr/>
        <w:t>Кластеризация и детектирование выбросов. Наблюдения группируются по характеристикам сигналов, а устройства или источники, которые не вписываются в существующие кластеры, классифицируются как аномальные. Этот метод особенно эффективен для выявления редких или нестандартных паттернов поведения.</w:t>
      </w:r>
    </w:p>
    <w:p>
      <w:pPr>
        <w:pStyle w:val="Normal"/>
        <w:ind w:firstLine="720"/>
        <w:rPr/>
      </w:pPr>
      <w:r>
        <w:rPr/>
        <w:t>Применение статистических и индукционных методов позволяет выявлять как неавторизованные активные источники, так и потенциальные индикаторы пассивного присутствия, например</w:t>
      </w:r>
      <w:r>
        <w:rPr>
          <w:lang w:val="ru-RU"/>
        </w:rPr>
        <w:t xml:space="preserve"> </w:t>
      </w:r>
      <w:r>
        <w:rPr/>
        <w:t>аномальные изменения RSSI без явного источника сигнала</w:t>
      </w:r>
      <w:r>
        <w:rPr>
          <w:lang w:val="ru-RU"/>
        </w:rPr>
        <w:t xml:space="preserve"> или </w:t>
      </w:r>
      <w:r>
        <w:rPr/>
        <w:t>нарушения пространственно-временной согласованности наблюдений между узлами.</w:t>
      </w:r>
    </w:p>
    <w:p>
      <w:pPr>
        <w:pStyle w:val="Normal"/>
        <w:ind w:firstLine="720"/>
        <w:rPr/>
      </w:pPr>
      <w:r>
        <w:rPr/>
        <w:t>Основное преимущество данных методов заключается в возможности раннего выявления аномалий без необходимости точной локализации, опираясь только на наблюдаемые паттерны активности. Это делает статистические подходы ценным инструментом для многослойной системы обнаружения, где результаты физической, эмпирической и статистической оценки могут быть объединены для формирования мультимодальной модели выявления аномалий.</w:t>
      </w:r>
    </w:p>
    <w:p>
      <w:pPr>
        <w:pStyle w:val="Heading3"/>
        <w:rPr>
          <w:lang w:val="ru-RU"/>
        </w:rPr>
      </w:pPr>
      <w:bookmarkStart w:id="29" w:name="_Toc225707590"/>
      <w:bookmarkStart w:id="30" w:name="_t6qpiqke9pi0"/>
      <w:bookmarkEnd w:id="30"/>
      <w:r>
        <w:rPr/>
        <w:t xml:space="preserve">1.3.2 </w:t>
      </w:r>
      <w:r>
        <w:rPr>
          <w:lang w:val="ru-RU"/>
        </w:rPr>
        <w:t>Методы локализации активных источников</w:t>
      </w:r>
      <w:bookmarkEnd w:id="29"/>
    </w:p>
    <w:p>
      <w:pPr>
        <w:pStyle w:val="Normal"/>
        <w:rPr>
          <w:lang w:val="ru-RU"/>
        </w:rPr>
      </w:pPr>
      <w:r>
        <w:rPr>
          <w:lang w:val="ru-RU"/>
        </w:rPr>
        <w:t>Среди методов локализации активных источников выделяются две отличных группы методов: теоретические и эмпирические.</w:t>
      </w:r>
    </w:p>
    <w:p>
      <w:pPr>
        <w:pStyle w:val="Normal"/>
        <w:rPr>
          <w:lang w:val="ru-RU"/>
        </w:rPr>
      </w:pPr>
      <w:r>
        <w:rPr>
          <w:lang w:val="ru-RU"/>
        </w:rPr>
        <w:t>Теоретические</w:t>
      </w:r>
      <w:r>
        <w:rPr/>
        <w:t xml:space="preserve"> методы </w:t>
      </w:r>
      <w:r>
        <w:rPr>
          <w:lang w:val="ru-RU"/>
        </w:rPr>
        <w:t>локализации</w:t>
      </w:r>
      <w:r>
        <w:rPr/>
        <w:t xml:space="preserve"> источников излучения основаны на измерении мощности принимаемого сигнала (RSSI) несколькими сенсорными узлами и использовании этих измерений для оценки положения источника в пространстве. </w:t>
      </w:r>
      <w:r>
        <w:rPr>
          <w:lang w:val="ru-RU"/>
        </w:rPr>
        <w:t xml:space="preserve">В зависимости от теоретической модели </w:t>
      </w:r>
      <w:r>
        <w:rPr/>
        <w:t>RSSI рассматривается как обратно пропорциональная функция расстояния между передатчиком и приёмником, с учётом усреднённого затухания сигнала в конкретной среде и влияния препятствий, таких как стены, мебель и металлические конструкции.</w:t>
      </w:r>
      <w:r>
        <w:rPr>
          <w:lang w:val="ru-RU"/>
        </w:rPr>
        <w:t xml:space="preserve"> При рассмотрении логарифмической модели затухания </w:t>
      </w:r>
      <w:r>
        <w:rPr>
          <w:lang w:val="en-US"/>
        </w:rPr>
        <w:t>Log</w:t>
      </w:r>
      <w:r>
        <w:rPr>
          <w:lang w:val="ru-RU"/>
        </w:rPr>
        <w:t xml:space="preserve"> </w:t>
      </w:r>
      <w:r>
        <w:rPr>
          <w:lang w:val="en-US"/>
        </w:rPr>
        <w:t>Path</w:t>
      </w:r>
      <w:r>
        <w:rPr>
          <w:lang w:val="ru-RU"/>
        </w:rPr>
        <w:t xml:space="preserve"> </w:t>
      </w:r>
      <w:r>
        <w:rPr>
          <w:lang w:val="en-US"/>
        </w:rPr>
        <w:t>Loss</w:t>
      </w:r>
      <w:r>
        <w:rPr>
          <w:lang w:val="ru-RU"/>
        </w:rPr>
        <w:t>, функция потери сигнала описывается как:</w:t>
      </w:r>
    </w:p>
    <w:tbl>
      <w:tblPr>
        <w:tblStyle w:val="a7"/>
        <w:tblW w:w="948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641"/>
        <w:gridCol w:w="844"/>
      </w:tblGrid>
      <w:tr>
        <w:trPr/>
        <w:tc>
          <w:tcPr>
            <w:tcW w:w="8641" w:type="dxa"/>
            <w:tcBorders>
              <w:top w:val="nil"/>
              <w:left w:val="nil"/>
              <w:bottom w:val="nil"/>
              <w:right w:val="nil"/>
            </w:tcBorders>
            <w:vAlign w:val="center"/>
          </w:tcPr>
          <w:p>
            <w:pPr>
              <w:pStyle w:val="Normal"/>
              <w:widowControl/>
              <w:suppressAutoHyphens w:val="true"/>
              <w:spacing w:lineRule="auto" w:line="240" w:before="0" w:after="0"/>
              <w:ind w:hanging="0"/>
              <w:jc w:val="center"/>
              <w:rPr>
                <w:lang w:val="ru-RU"/>
              </w:rPr>
            </w:pPr>
            <w:r>
              <w:rPr/>
            </w:r>
            <m:oMath xmlns:m="http://schemas.openxmlformats.org/officeDocument/2006/math">
              <m:r>
                <w:rPr>
                  <w:rFonts w:ascii="Cambria Math" w:hAnsi="Cambria Math"/>
                </w:rPr>
                <m:t xml:space="preserve">PL</m:t>
              </m:r>
              <m:r>
                <w:rPr>
                  <w:rFonts w:ascii="Cambria Math" w:hAnsi="Cambria Math"/>
                </w:rPr>
                <m:t xml:space="preserve">(</m:t>
              </m:r>
              <m:r>
                <w:rPr>
                  <w:rFonts w:ascii="Cambria Math" w:hAnsi="Cambria Math"/>
                </w:rPr>
                <m:t xml:space="preserve">d</m:t>
              </m:r>
              <m:r>
                <w:rPr>
                  <w:rFonts w:ascii="Cambria Math" w:hAnsi="Cambria Math"/>
                </w:rPr>
                <m:t xml:space="preserve">)</m:t>
              </m:r>
              <m:r>
                <w:rPr>
                  <w:rFonts w:ascii="Cambria Math" w:hAnsi="Cambria Math"/>
                </w:rPr>
                <m:t xml:space="preserve">=</m:t>
              </m:r>
              <m:sSub>
                <m:e>
                  <m:r>
                    <w:rPr>
                      <w:rFonts w:ascii="Cambria Math" w:hAnsi="Cambria Math"/>
                    </w:rPr>
                    <m:t xml:space="preserve">P</m:t>
                  </m:r>
                </m:e>
                <m:sub>
                  <m:r>
                    <w:rPr>
                      <w:rFonts w:ascii="Cambria Math" w:hAnsi="Cambria Math"/>
                    </w:rPr>
                    <m:t xml:space="preserve">t</m:t>
                  </m:r>
                </m:sub>
              </m:sSub>
              <m:r>
                <w:rPr>
                  <w:rFonts w:ascii="Cambria Math" w:hAnsi="Cambria Math"/>
                </w:rPr>
                <m:t xml:space="preserve">−</m:t>
              </m:r>
              <m:r>
                <w:rPr>
                  <w:rFonts w:ascii="Cambria Math" w:hAnsi="Cambria Math"/>
                </w:rPr>
                <m:t xml:space="preserve">RSSI</m:t>
              </m:r>
            </m:oMath>
            <w:r>
              <w:rPr>
                <w:rFonts w:eastAsia="Times New Roman" w:cs="Times New Roman"/>
                <w:kern w:val="0"/>
                <w:sz w:val="28"/>
                <w:szCs w:val="28"/>
                <w:lang w:val="ru-RU" w:eastAsia="ru-RU" w:bidi="ar-SA"/>
              </w:rPr>
              <w:t>,</w:t>
            </w:r>
          </w:p>
        </w:tc>
        <w:tc>
          <w:tcPr>
            <w:tcW w:w="844" w:type="dxa"/>
            <w:tcBorders>
              <w:top w:val="nil"/>
              <w:left w:val="nil"/>
              <w:bottom w:val="nil"/>
              <w:right w:val="nil"/>
            </w:tcBorders>
            <w:vAlign w:val="center"/>
          </w:tcPr>
          <w:p>
            <w:pPr>
              <w:pStyle w:val="Normal"/>
              <w:widowControl/>
              <w:suppressAutoHyphens w:val="true"/>
              <w:spacing w:lineRule="auto" w:line="240" w:before="0" w:after="0"/>
              <w:ind w:hanging="0"/>
              <w:jc w:val="center"/>
              <w:rPr>
                <w:highlight w:val="darkRed"/>
              </w:rPr>
            </w:pPr>
            <w:r>
              <w:rPr>
                <w:rFonts w:eastAsia="Times New Roman" w:cs="Times New Roman"/>
                <w:kern w:val="0"/>
                <w:sz w:val="28"/>
                <w:szCs w:val="28"/>
                <w:highlight w:val="darkRed"/>
                <w:lang w:val="ru-RU" w:eastAsia="ru-RU" w:bidi="ar-SA"/>
              </w:rPr>
              <w:t>(?)</w:t>
            </w:r>
          </w:p>
        </w:tc>
      </w:tr>
      <w:tr>
        <w:trPr/>
        <w:tc>
          <w:tcPr>
            <w:tcW w:w="8641" w:type="dxa"/>
            <w:tcBorders>
              <w:top w:val="nil"/>
              <w:left w:val="nil"/>
              <w:bottom w:val="nil"/>
              <w:right w:val="nil"/>
            </w:tcBorders>
            <w:vAlign w:val="center"/>
          </w:tcPr>
          <w:p>
            <w:pPr>
              <w:pStyle w:val="Normal"/>
              <w:widowControl/>
              <w:suppressAutoHyphens w:val="true"/>
              <w:spacing w:lineRule="auto" w:line="240" w:before="0" w:after="0"/>
              <w:ind w:hanging="0"/>
              <w:jc w:val="center"/>
              <w:rPr>
                <w:lang w:val="ru-RU"/>
              </w:rPr>
            </w:pPr>
            <w:r>
              <w:rPr/>
            </w:r>
            <m:oMath xmlns:m="http://schemas.openxmlformats.org/officeDocument/2006/math">
              <m:r>
                <w:rPr>
                  <w:rFonts w:ascii="Cambria Math" w:hAnsi="Cambria Math"/>
                </w:rPr>
                <m:t xml:space="preserve">PL</m:t>
              </m:r>
              <m:r>
                <w:rPr>
                  <w:rFonts w:ascii="Cambria Math" w:hAnsi="Cambria Math"/>
                </w:rPr>
                <m:t xml:space="preserve">(</m:t>
              </m:r>
              <m:r>
                <w:rPr>
                  <w:rFonts w:ascii="Cambria Math" w:hAnsi="Cambria Math"/>
                </w:rPr>
                <m:t xml:space="preserve">d</m:t>
              </m:r>
              <m:r>
                <w:rPr>
                  <w:rFonts w:ascii="Cambria Math" w:hAnsi="Cambria Math"/>
                </w:rPr>
                <m:t xml:space="preserve">)</m:t>
              </m:r>
              <m:r>
                <w:rPr>
                  <w:rFonts w:ascii="Cambria Math" w:hAnsi="Cambria Math"/>
                </w:rPr>
                <m:t xml:space="preserve">=</m:t>
              </m:r>
              <m:r>
                <w:rPr>
                  <w:rFonts w:ascii="Cambria Math" w:hAnsi="Cambria Math"/>
                </w:rPr>
                <m:t xml:space="preserve">PL</m:t>
              </m:r>
              <m:r>
                <w:rPr>
                  <w:rFonts w:ascii="Cambria Math" w:hAnsi="Cambria Math"/>
                </w:rPr>
                <m:t xml:space="preserve">(</m:t>
              </m:r>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Lo</m:t>
              </m:r>
              <m:sSub>
                <m:e>
                  <m:r>
                    <w:rPr>
                      <w:rFonts w:ascii="Cambria Math" w:hAnsi="Cambria Math"/>
                    </w:rPr>
                    <m:t xml:space="preserve">g</m:t>
                  </m:r>
                </m:e>
                <m:sub>
                  <m:r>
                    <w:rPr>
                      <w:rFonts w:ascii="Cambria Math" w:hAnsi="Cambria Math"/>
                    </w:rPr>
                    <m:t xml:space="preserve">10</m:t>
                  </m:r>
                </m:sub>
              </m:sSub>
              <m:r>
                <w:rPr>
                  <w:rFonts w:ascii="Cambria Math" w:hAnsi="Cambria Math"/>
                </w:rPr>
                <m:t xml:space="preserve">(</m:t>
              </m:r>
              <m:f>
                <m:num>
                  <m:r>
                    <w:rPr>
                      <w:rFonts w:ascii="Cambria Math" w:hAnsi="Cambria Math"/>
                    </w:rPr>
                    <m:t xml:space="preserve">d</m:t>
                  </m:r>
                </m:num>
                <m:den>
                  <m:sSub>
                    <m:e>
                      <m:r>
                        <w:rPr>
                          <w:rFonts w:ascii="Cambria Math" w:hAnsi="Cambria Math"/>
                        </w:rPr>
                        <m:t xml:space="preserve">d</m:t>
                      </m:r>
                    </m:e>
                    <m:sub>
                      <m:r>
                        <w:rPr>
                          <w:rFonts w:ascii="Cambria Math" w:hAnsi="Cambria Math"/>
                        </w:rPr>
                        <m:t xml:space="preserve">0</m:t>
                      </m:r>
                    </m:sub>
                  </m:sSub>
                </m:den>
              </m:f>
              <m:r>
                <w:rPr>
                  <w:rFonts w:ascii="Cambria Math" w:hAnsi="Cambria Math"/>
                </w:rPr>
                <m:t xml:space="preserve">)</m:t>
              </m:r>
            </m:oMath>
            <w:r>
              <w:rPr>
                <w:rFonts w:eastAsia="Times New Roman" w:cs="Times New Roman"/>
                <w:kern w:val="0"/>
                <w:sz w:val="28"/>
                <w:szCs w:val="28"/>
                <w:lang w:val="ru-RU" w:eastAsia="ru-RU" w:bidi="ar-SA"/>
              </w:rPr>
              <w:t>,</w:t>
            </w:r>
          </w:p>
        </w:tc>
        <w:tc>
          <w:tcPr>
            <w:tcW w:w="844" w:type="dxa"/>
            <w:tcBorders>
              <w:top w:val="nil"/>
              <w:left w:val="nil"/>
              <w:bottom w:val="nil"/>
              <w:right w:val="nil"/>
            </w:tcBorders>
            <w:vAlign w:val="center"/>
          </w:tcPr>
          <w:p>
            <w:pPr>
              <w:pStyle w:val="Normal"/>
              <w:widowControl/>
              <w:suppressAutoHyphens w:val="true"/>
              <w:spacing w:lineRule="auto" w:line="240" w:before="0" w:after="0"/>
              <w:ind w:hanging="0"/>
              <w:jc w:val="center"/>
              <w:rPr>
                <w:highlight w:val="darkRed"/>
              </w:rPr>
            </w:pPr>
            <w:r>
              <w:rPr>
                <w:rFonts w:eastAsia="Times New Roman" w:cs="Times New Roman"/>
                <w:kern w:val="0"/>
                <w:sz w:val="28"/>
                <w:szCs w:val="28"/>
                <w:highlight w:val="darkRed"/>
                <w:lang w:val="ru-RU" w:eastAsia="ru-RU" w:bidi="ar-SA"/>
              </w:rPr>
              <w:t>(?)</w:t>
            </w:r>
          </w:p>
        </w:tc>
      </w:tr>
    </w:tbl>
    <w:p>
      <w:pPr>
        <w:pStyle w:val="Normal"/>
        <w:ind w:hanging="0"/>
        <w:rPr>
          <w:lang w:val="ru-RU"/>
        </w:rPr>
      </w:pPr>
      <w:r>
        <w:rPr>
          <w:lang w:val="ru-RU"/>
        </w:rPr>
      </w:r>
    </w:p>
    <w:tbl>
      <w:tblPr>
        <w:tblStyle w:val="a7"/>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76"/>
        <w:gridCol w:w="1114"/>
        <w:gridCol w:w="370"/>
        <w:gridCol w:w="7193"/>
      </w:tblGrid>
      <w:tr>
        <w:trPr>
          <w:trHeight w:val="364" w:hRule="atLeast"/>
        </w:trPr>
        <w:tc>
          <w:tcPr>
            <w:tcW w:w="676" w:type="dxa"/>
            <w:tcBorders>
              <w:top w:val="nil"/>
              <w:left w:val="nil"/>
              <w:bottom w:val="nil"/>
              <w:right w:val="nil"/>
            </w:tcBorders>
          </w:tcPr>
          <w:p>
            <w:pPr>
              <w:pStyle w:val="Normal"/>
              <w:widowControl/>
              <w:suppressAutoHyphens w:val="true"/>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t>где:</w:t>
            </w:r>
          </w:p>
        </w:tc>
        <w:tc>
          <w:tcPr>
            <w:tcW w:w="1114" w:type="dxa"/>
            <w:tcBorders>
              <w:top w:val="nil"/>
              <w:left w:val="nil"/>
              <w:bottom w:val="nil"/>
              <w:right w:val="nil"/>
            </w:tcBorders>
          </w:tcPr>
          <w:p>
            <w:pPr>
              <w:pStyle w:val="Normal"/>
              <w:widowControl/>
              <w:suppressAutoHyphens w:val="true"/>
              <w:spacing w:lineRule="auto" w:line="240" w:before="0" w:after="0"/>
              <w:ind w:hanging="0"/>
              <w:jc w:val="center"/>
              <w:rPr>
                <w:rFonts w:ascii="Times New Roman" w:hAnsi="Times New Roman" w:eastAsia="Times New Roman" w:cs="Times New Roman"/>
                <w:kern w:val="0"/>
                <w:sz w:val="28"/>
                <w:szCs w:val="28"/>
                <w:lang w:val="ru-RU" w:eastAsia="ru-RU" w:bidi="ar-SA"/>
              </w:rPr>
            </w:pPr>
            <w:r>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t</m:t>
                    </m:r>
                  </m:sub>
                </m:sSub>
              </m:oMath>
            </m:oMathPara>
          </w:p>
        </w:tc>
        <w:tc>
          <w:tcPr>
            <w:tcW w:w="370"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w:t>
            </w:r>
          </w:p>
        </w:tc>
        <w:tc>
          <w:tcPr>
            <w:tcW w:w="7193"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мощность излучаемого сигнала,</w:t>
            </w:r>
          </w:p>
        </w:tc>
      </w:tr>
      <w:tr>
        <w:trPr>
          <w:trHeight w:val="356" w:hRule="atLeast"/>
        </w:trPr>
        <w:tc>
          <w:tcPr>
            <w:tcW w:w="676" w:type="dxa"/>
            <w:tcBorders>
              <w:top w:val="nil"/>
              <w:left w:val="nil"/>
              <w:bottom w:val="nil"/>
              <w:right w:val="nil"/>
            </w:tcBorders>
          </w:tcPr>
          <w:p>
            <w:pPr>
              <w:pStyle w:val="Normal"/>
              <w:widowControl/>
              <w:suppressAutoHyphens w:val="true"/>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w:p>
        </w:tc>
        <w:tc>
          <w:tcPr>
            <w:tcW w:w="1114" w:type="dxa"/>
            <w:tcBorders>
              <w:top w:val="nil"/>
              <w:left w:val="nil"/>
              <w:bottom w:val="nil"/>
              <w:right w:val="nil"/>
            </w:tcBorders>
          </w:tcPr>
          <w:p>
            <w:pPr>
              <w:pStyle w:val="Normal"/>
              <w:widowControl/>
              <w:suppressAutoHyphens w:val="true"/>
              <w:spacing w:lineRule="auto" w:line="240" w:before="0" w:after="0"/>
              <w:ind w:hanging="0"/>
              <w:jc w:val="center"/>
              <w:rPr>
                <w:rFonts w:ascii="Times New Roman" w:hAnsi="Times New Roman" w:eastAsia="Times New Roman" w:cs="Times New Roman"/>
                <w:kern w:val="0"/>
                <w:sz w:val="28"/>
                <w:szCs w:val="28"/>
                <w:lang w:val="ru-RU" w:eastAsia="ru-RU" w:bidi="ar-SA"/>
              </w:rPr>
            </w:pPr>
            <w:r>
              <w:rPr/>
            </w:r>
            <m:oMathPara xmlns:m="http://schemas.openxmlformats.org/officeDocument/2006/math">
              <m:oMathParaPr>
                <m:jc m:val="center"/>
              </m:oMathParaPr>
              <m:oMath>
                <m:r>
                  <w:rPr>
                    <w:rFonts w:ascii="Cambria Math" w:hAnsi="Cambria Math"/>
                  </w:rPr>
                  <m:t xml:space="preserve">RSSI</m:t>
                </m:r>
              </m:oMath>
            </m:oMathPara>
          </w:p>
        </w:tc>
        <w:tc>
          <w:tcPr>
            <w:tcW w:w="370"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w:t>
            </w:r>
          </w:p>
        </w:tc>
        <w:tc>
          <w:tcPr>
            <w:tcW w:w="7193"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принимаемая мощность,</w:t>
            </w:r>
          </w:p>
        </w:tc>
      </w:tr>
      <w:tr>
        <w:trPr>
          <w:trHeight w:val="356" w:hRule="atLeast"/>
        </w:trPr>
        <w:tc>
          <w:tcPr>
            <w:tcW w:w="676" w:type="dxa"/>
            <w:tcBorders>
              <w:top w:val="nil"/>
              <w:left w:val="nil"/>
              <w:bottom w:val="nil"/>
              <w:right w:val="nil"/>
            </w:tcBorders>
          </w:tcPr>
          <w:p>
            <w:pPr>
              <w:pStyle w:val="Normal"/>
              <w:widowControl/>
              <w:suppressAutoHyphens w:val="true"/>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w:p>
        </w:tc>
        <w:tc>
          <w:tcPr>
            <w:tcW w:w="1114" w:type="dxa"/>
            <w:tcBorders>
              <w:top w:val="nil"/>
              <w:left w:val="nil"/>
              <w:bottom w:val="nil"/>
              <w:right w:val="nil"/>
            </w:tcBorders>
          </w:tcPr>
          <w:p>
            <w:pPr>
              <w:pStyle w:val="Normal"/>
              <w:widowControl/>
              <w:suppressAutoHyphens w:val="true"/>
              <w:spacing w:lineRule="auto" w:line="240" w:before="0" w:after="0"/>
              <w:ind w:hanging="0"/>
              <w:jc w:val="center"/>
              <w:rPr>
                <w:rFonts w:ascii="Times New Roman" w:hAnsi="Times New Roman" w:eastAsia="Times New Roman" w:cs="Times New Roman"/>
                <w:kern w:val="0"/>
                <w:sz w:val="28"/>
                <w:szCs w:val="28"/>
                <w:lang w:val="ru-RU" w:eastAsia="ru-RU" w:bidi="ar-SA"/>
              </w:rPr>
            </w:pPr>
            <w:r>
              <w:rPr/>
            </w:r>
            <m:oMathPara xmlns:m="http://schemas.openxmlformats.org/officeDocument/2006/math">
              <m:oMathParaPr>
                <m:jc m:val="center"/>
              </m:oMathParaPr>
              <m:oMath>
                <m:r>
                  <w:rPr>
                    <w:rFonts w:ascii="Cambria Math" w:hAnsi="Cambria Math"/>
                  </w:rPr>
                  <m:t xml:space="preserve">PL</m:t>
                </m:r>
                <m:r>
                  <w:rPr>
                    <w:rFonts w:ascii="Cambria Math" w:hAnsi="Cambria Math"/>
                  </w:rPr>
                  <m:t xml:space="preserve">(</m:t>
                </m:r>
                <m:r>
                  <w:rPr>
                    <w:rFonts w:ascii="Cambria Math" w:hAnsi="Cambria Math"/>
                  </w:rPr>
                  <m:t xml:space="preserve">d</m:t>
                </m:r>
                <m:r>
                  <w:rPr>
                    <w:rFonts w:ascii="Cambria Math" w:hAnsi="Cambria Math"/>
                  </w:rPr>
                  <m:t xml:space="preserve">)</m:t>
                </m:r>
              </m:oMath>
            </m:oMathPara>
          </w:p>
        </w:tc>
        <w:tc>
          <w:tcPr>
            <w:tcW w:w="370"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w:t>
            </w:r>
          </w:p>
        </w:tc>
        <w:tc>
          <w:tcPr>
            <w:tcW w:w="7193"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 xml:space="preserve">потери мощности на расстоянии </w:t>
            </w:r>
            <w:r>
              <w:rPr/>
            </w:r>
            <m:oMath xmlns:m="http://schemas.openxmlformats.org/officeDocument/2006/math">
              <m:r>
                <w:rPr>
                  <w:rFonts w:ascii="Cambria Math" w:hAnsi="Cambria Math"/>
                </w:rPr>
                <m:t xml:space="preserve">d</m:t>
              </m:r>
            </m:oMath>
            <w:r>
              <w:rPr>
                <w:rFonts w:eastAsia="Times New Roman" w:cs="Times New Roman"/>
                <w:kern w:val="0"/>
                <w:sz w:val="28"/>
                <w:szCs w:val="28"/>
                <w:lang w:val="ru-RU" w:eastAsia="ru-RU" w:bidi="ar-SA"/>
              </w:rPr>
              <w:t>,</w:t>
            </w:r>
          </w:p>
        </w:tc>
      </w:tr>
      <w:tr>
        <w:trPr>
          <w:trHeight w:val="356" w:hRule="atLeast"/>
        </w:trPr>
        <w:tc>
          <w:tcPr>
            <w:tcW w:w="676" w:type="dxa"/>
            <w:tcBorders>
              <w:top w:val="nil"/>
              <w:left w:val="nil"/>
              <w:bottom w:val="nil"/>
              <w:right w:val="nil"/>
            </w:tcBorders>
          </w:tcPr>
          <w:p>
            <w:pPr>
              <w:pStyle w:val="Normal"/>
              <w:widowControl/>
              <w:suppressAutoHyphens w:val="true"/>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w:p>
        </w:tc>
        <w:tc>
          <w:tcPr>
            <w:tcW w:w="1114" w:type="dxa"/>
            <w:tcBorders>
              <w:top w:val="nil"/>
              <w:left w:val="nil"/>
              <w:bottom w:val="nil"/>
              <w:right w:val="nil"/>
            </w:tcBorders>
          </w:tcPr>
          <w:p>
            <w:pPr>
              <w:pStyle w:val="Normal"/>
              <w:widowControl/>
              <w:suppressAutoHyphens w:val="true"/>
              <w:spacing w:lineRule="auto" w:line="240" w:before="0" w:after="0"/>
              <w:ind w:hanging="0"/>
              <w:jc w:val="center"/>
              <w:rPr>
                <w:rFonts w:ascii="Times New Roman" w:hAnsi="Times New Roman" w:eastAsia="Times New Roman" w:cs="Times New Roman"/>
                <w:kern w:val="0"/>
                <w:sz w:val="28"/>
                <w:szCs w:val="28"/>
                <w:lang w:val="ru-RU" w:eastAsia="ru-RU" w:bidi="ar-SA"/>
              </w:rPr>
            </w:pPr>
            <w:r>
              <w:rPr/>
            </w:r>
            <m:oMathPara xmlns:m="http://schemas.openxmlformats.org/officeDocument/2006/math">
              <m:oMathParaPr>
                <m:jc m:val="center"/>
              </m:oMathParaPr>
              <m:oMath>
                <m:sSub>
                  <m:e>
                    <m:r>
                      <w:rPr>
                        <w:rFonts w:ascii="Cambria Math" w:hAnsi="Cambria Math"/>
                      </w:rPr>
                      <m:t xml:space="preserve">d</m:t>
                    </m:r>
                  </m:e>
                  <m:sub>
                    <m:r>
                      <w:rPr>
                        <w:rFonts w:ascii="Cambria Math" w:hAnsi="Cambria Math"/>
                      </w:rPr>
                      <m:t xml:space="preserve">0</m:t>
                    </m:r>
                  </m:sub>
                </m:sSub>
              </m:oMath>
            </m:oMathPara>
          </w:p>
        </w:tc>
        <w:tc>
          <w:tcPr>
            <w:tcW w:w="370"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w:t>
            </w:r>
          </w:p>
        </w:tc>
        <w:tc>
          <w:tcPr>
            <w:tcW w:w="7193"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опорное расстояние,</w:t>
            </w:r>
          </w:p>
        </w:tc>
      </w:tr>
      <w:tr>
        <w:trPr>
          <w:trHeight w:val="356" w:hRule="atLeast"/>
        </w:trPr>
        <w:tc>
          <w:tcPr>
            <w:tcW w:w="676" w:type="dxa"/>
            <w:tcBorders>
              <w:top w:val="nil"/>
              <w:left w:val="nil"/>
              <w:bottom w:val="nil"/>
              <w:right w:val="nil"/>
            </w:tcBorders>
          </w:tcPr>
          <w:p>
            <w:pPr>
              <w:pStyle w:val="Normal"/>
              <w:widowControl/>
              <w:suppressAutoHyphens w:val="true"/>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w:p>
        </w:tc>
        <w:tc>
          <w:tcPr>
            <w:tcW w:w="1114" w:type="dxa"/>
            <w:tcBorders>
              <w:top w:val="nil"/>
              <w:left w:val="nil"/>
              <w:bottom w:val="nil"/>
              <w:right w:val="nil"/>
            </w:tcBorders>
          </w:tcPr>
          <w:p>
            <w:pPr>
              <w:pStyle w:val="Normal"/>
              <w:widowControl/>
              <w:suppressAutoHyphens w:val="true"/>
              <w:spacing w:lineRule="auto" w:line="240" w:before="0" w:after="0"/>
              <w:ind w:hanging="0"/>
              <w:jc w:val="center"/>
              <w:rPr>
                <w:rFonts w:ascii="Times New Roman" w:hAnsi="Times New Roman" w:eastAsia="Times New Roman" w:cs="Times New Roman"/>
                <w:kern w:val="0"/>
                <w:sz w:val="28"/>
                <w:szCs w:val="28"/>
                <w:lang w:val="ru-RU" w:eastAsia="ru-RU" w:bidi="ar-SA"/>
              </w:rPr>
            </w:pPr>
            <w:r>
              <w:rPr/>
            </w:r>
            <m:oMathPara xmlns:m="http://schemas.openxmlformats.org/officeDocument/2006/math">
              <m:oMathParaPr>
                <m:jc m:val="center"/>
              </m:oMathParaPr>
              <m:oMath>
                <m:r>
                  <w:rPr>
                    <w:rFonts w:ascii="Cambria Math" w:hAnsi="Cambria Math"/>
                  </w:rPr>
                  <m:t xml:space="preserve">PL</m:t>
                </m:r>
                <m:r>
                  <w:rPr>
                    <w:rFonts w:ascii="Cambria Math" w:hAnsi="Cambria Math"/>
                  </w:rPr>
                  <m:t xml:space="preserve">(</m:t>
                </m:r>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oMath>
            </m:oMathPara>
          </w:p>
        </w:tc>
        <w:tc>
          <w:tcPr>
            <w:tcW w:w="370"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w:t>
            </w:r>
          </w:p>
        </w:tc>
        <w:tc>
          <w:tcPr>
            <w:tcW w:w="7193" w:type="dxa"/>
            <w:tcBorders>
              <w:top w:val="nil"/>
              <w:left w:val="nil"/>
              <w:bottom w:val="nil"/>
              <w:right w:val="nil"/>
            </w:tcBorders>
          </w:tcPr>
          <w:p>
            <w:pPr>
              <w:pStyle w:val="Normal"/>
              <w:widowControl/>
              <w:suppressAutoHyphens w:val="true"/>
              <w:spacing w:lineRule="auto" w:line="240" w:before="0" w:after="0"/>
              <w:ind w:hanging="0"/>
              <w:jc w:val="both"/>
              <w:rPr>
                <w:i/>
                <w:i/>
                <w:lang w:val="ru-RU"/>
              </w:rPr>
            </w:pPr>
            <w:r>
              <w:rPr>
                <w:rFonts w:eastAsia="Times New Roman" w:cs="Times New Roman"/>
                <w:kern w:val="0"/>
                <w:sz w:val="28"/>
                <w:szCs w:val="28"/>
                <w:lang w:val="ru-RU" w:eastAsia="ru-RU" w:bidi="ar-SA"/>
              </w:rPr>
              <w:t xml:space="preserve">потери мощности на опорном расстоянии </w:t>
            </w:r>
            <w:r>
              <w:rPr/>
            </w:r>
            <m:oMath xmlns:m="http://schemas.openxmlformats.org/officeDocument/2006/math">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r>
                <w:rPr>
                  <w:rFonts w:ascii="Cambria Math" w:hAnsi="Cambria Math"/>
                </w:rPr>
                <m:t xml:space="preserve">1.</m:t>
              </m:r>
            </m:oMath>
          </w:p>
        </w:tc>
      </w:tr>
    </w:tbl>
    <w:p>
      <w:pPr>
        <w:pStyle w:val="Normal"/>
        <w:rPr/>
      </w:pPr>
      <w:r>
        <w:rPr/>
        <w:t>Для количественного определения положения источника применяют мультилатерацию</w:t>
      </w:r>
      <w:r>
        <w:rPr>
          <w:lang w:val="ru-RU"/>
        </w:rPr>
        <w:t xml:space="preserve"> [2], [3]</w:t>
      </w:r>
      <w:r>
        <w:rPr/>
        <w:t>, при которой известны координаты нескольких сенсорных узлов. На основе измеренной мощности сигнала рассчитываются расстояния до источника, формируя для каждого узла геометрические области возможного расположения: круги на плоскости или сферы в трёхмерном пространстве. Пересечение этих областей позволяет выделить область возможного положения источника, что является основной идеей метода. Такой подход широко применяется в системах локализации активных Wi</w:t>
        <w:noBreakHyphen/>
        <w:t xml:space="preserve">Fi устройств, где </w:t>
      </w:r>
      <w:r>
        <w:rPr>
          <w:lang w:val="ru-RU"/>
        </w:rPr>
        <w:t xml:space="preserve">не </w:t>
      </w:r>
      <w:r>
        <w:rPr/>
        <w:t>требуется оценка координат с достаточной точностью.</w:t>
      </w:r>
    </w:p>
    <w:p>
      <w:pPr>
        <w:pStyle w:val="Normal"/>
        <w:rPr/>
      </w:pPr>
      <w:r>
        <w:rPr/>
        <w:t>Практическое применение данного подхода ограничено несколькими факторами. Во-первых, RSSI является нестабильным параметром, подвергающимся влиянию многолучевого распространения, отражений, диффузного затухания, экранирующих препятствий и направленности антенн как передатчика, так и приёмника. Во-вторых, точность определения координат сильно зависит от количества сенсорных узлов и их геометрического расположения: при малом числе точек или неблагоприятной конфигурации ошибки существенно увеличиваются.</w:t>
      </w:r>
    </w:p>
    <w:p>
      <w:pPr>
        <w:pStyle w:val="Normal"/>
        <w:rPr/>
      </w:pPr>
      <w:r>
        <w:rPr/>
        <w:t>Для повышения надёжности и точности локализации применяются следующие меры:</w:t>
      </w:r>
    </w:p>
    <w:p>
      <w:pPr>
        <w:pStyle w:val="Normal"/>
        <w:numPr>
          <w:ilvl w:val="0"/>
          <w:numId w:val="7"/>
        </w:numPr>
        <w:ind w:firstLine="708" w:left="0"/>
        <w:rPr/>
      </w:pPr>
      <w:r>
        <w:rPr/>
        <w:t>Усреднение измерений RSSI по времени для снижения влияния кратковременных колебаний сигнала;</w:t>
      </w:r>
    </w:p>
    <w:p>
      <w:pPr>
        <w:pStyle w:val="Normal"/>
        <w:numPr>
          <w:ilvl w:val="0"/>
          <w:numId w:val="7"/>
        </w:numPr>
        <w:ind w:firstLine="708" w:left="0"/>
        <w:rPr/>
      </w:pPr>
      <w:r>
        <w:rPr/>
        <w:t>Калибровка антенн и корректировка коэффициентов затухания с использованием эталонных измерений;</w:t>
      </w:r>
    </w:p>
    <w:p>
      <w:pPr>
        <w:pStyle w:val="Normal"/>
        <w:numPr>
          <w:ilvl w:val="0"/>
          <w:numId w:val="7"/>
        </w:numPr>
        <w:ind w:firstLine="708" w:left="0"/>
        <w:rPr/>
      </w:pPr>
      <w:r>
        <w:rPr/>
        <w:t>Согласование наблюдений между несколькими узлами для выявления и фильтрации выбросов и ложных срабатываний;</w:t>
      </w:r>
    </w:p>
    <w:p>
      <w:pPr>
        <w:pStyle w:val="Normal"/>
        <w:numPr>
          <w:ilvl w:val="0"/>
          <w:numId w:val="7"/>
        </w:numPr>
        <w:ind w:firstLine="708" w:left="0"/>
        <w:rPr/>
      </w:pPr>
      <w:r>
        <w:rPr/>
        <w:t>Использование моделей распространения сигнала, учитывающих пространственные особенности помещения, для более корректной интерпретации измерений.</w:t>
      </w:r>
    </w:p>
    <w:p>
      <w:pPr>
        <w:pStyle w:val="Normal"/>
        <w:rPr/>
      </w:pPr>
      <w:r>
        <w:rPr/>
        <w:t>Методы на основе трилатерации формируют теоретическую основу для последующих мультимодальных подходов обнаружения, где измеренные физические параметры сигналов служат входными признаками для статистических и эмпирических моделей.</w:t>
      </w:r>
    </w:p>
    <w:p>
      <w:pPr>
        <w:pStyle w:val="Normal"/>
        <w:rPr/>
      </w:pPr>
      <w:bookmarkStart w:id="31" w:name="_xfmcqfsl3h22"/>
      <w:bookmarkEnd w:id="31"/>
      <w:r>
        <w:rPr/>
        <w:t>Эмпирические методы обнаружения источников излучения основаны на построении радиокарт помещения (RSSI fingerprinting), которые отображают пространственное распределение мощности сигнала от известных источников относительно фиксированных позиций сенсорных узлов. В отличие от физических моделей, где положение источника определяется теоретической зависимостью мощности сигнала от расстояния, fingerprinting опирается на наблюдаемые данные, формируя эталонное представление радиосреды для последующего сопоставления с текущими измерениями.</w:t>
      </w:r>
    </w:p>
    <w:p>
      <w:pPr>
        <w:pStyle w:val="Normal"/>
        <w:rPr/>
      </w:pPr>
      <w:r>
        <w:rPr/>
        <w:t>Процесс построения радиокарты включает следующие этапы:</w:t>
      </w:r>
    </w:p>
    <w:p>
      <w:pPr>
        <w:pStyle w:val="Normal"/>
        <w:numPr>
          <w:ilvl w:val="0"/>
          <w:numId w:val="1"/>
        </w:numPr>
        <w:ind w:firstLine="708" w:left="0"/>
        <w:rPr/>
      </w:pPr>
      <w:r>
        <w:rPr/>
        <w:t>Размещение сенсорных узлов в заранее определённых фиксированных точках помещения и сбор измерений RSSI от всех активных источников;</w:t>
      </w:r>
    </w:p>
    <w:p>
      <w:pPr>
        <w:pStyle w:val="Normal"/>
        <w:numPr>
          <w:ilvl w:val="0"/>
          <w:numId w:val="1"/>
        </w:numPr>
        <w:ind w:firstLine="708" w:left="0"/>
        <w:rPr/>
      </w:pPr>
      <w:r>
        <w:rPr/>
        <w:t>Обработка и усреднение измерений для каждого положения источника, формирование векторного представления силы сигнала по каждому узлу, что позволяет учитывать пространственные различия и многолучевое распространение;</w:t>
      </w:r>
    </w:p>
    <w:p>
      <w:pPr>
        <w:pStyle w:val="Normal"/>
        <w:numPr>
          <w:ilvl w:val="0"/>
          <w:numId w:val="1"/>
        </w:numPr>
        <w:ind w:firstLine="708" w:left="0"/>
        <w:rPr/>
      </w:pPr>
      <w:r>
        <w:rPr/>
        <w:t>Формирование и хранение эталонной карты как базы для последующего сопоставления с текущими наблюдениями и анализа отклонений.</w:t>
      </w:r>
    </w:p>
    <w:p>
      <w:pPr>
        <w:pStyle w:val="Normal"/>
        <w:ind w:firstLine="720"/>
        <w:rPr/>
      </w:pPr>
      <w:r>
        <w:rPr>
          <w:lang w:val="ru-RU"/>
        </w:rPr>
        <w:t>Локализация</w:t>
      </w:r>
      <w:r>
        <w:rPr/>
        <w:t xml:space="preserve"> источников выполняется через сравнение текущего RSSI-профиля с эталонной картой. Значительные расхождения между наблюдаемыми и эталонными значениями сигналов позволяют выявлять:</w:t>
      </w:r>
    </w:p>
    <w:p>
      <w:pPr>
        <w:pStyle w:val="Normal"/>
        <w:numPr>
          <w:ilvl w:val="0"/>
          <w:numId w:val="5"/>
        </w:numPr>
        <w:rPr/>
      </w:pPr>
      <w:r>
        <w:rPr/>
        <w:t>появление незарегистрированных активных точек доступа;</w:t>
      </w:r>
    </w:p>
    <w:p>
      <w:pPr>
        <w:pStyle w:val="Normal"/>
        <w:numPr>
          <w:ilvl w:val="0"/>
          <w:numId w:val="5"/>
        </w:numPr>
        <w:rPr/>
      </w:pPr>
      <w:r>
        <w:rPr/>
        <w:t>изменение параметров существующих источников;</w:t>
      </w:r>
    </w:p>
    <w:p>
      <w:pPr>
        <w:pStyle w:val="Normal"/>
        <w:numPr>
          <w:ilvl w:val="0"/>
          <w:numId w:val="5"/>
        </w:numPr>
        <w:rPr/>
      </w:pPr>
      <w:r>
        <w:rPr/>
        <w:t>деградацию условий распространения радиосигнала внутри помещения.</w:t>
      </w:r>
    </w:p>
    <w:p>
      <w:pPr>
        <w:pStyle w:val="Normal"/>
        <w:ind w:firstLine="720"/>
        <w:rPr/>
      </w:pPr>
      <w:r>
        <w:rPr/>
        <w:t>Для повышения точности и устойчивости анализа применяются статистические методы и алгоритмы машинного обучения, включая кластеризацию наблюдений, анализ отклонений и выявление нестабильных паттернов активности устройств. Fingerprinting также служит инструментом оценки применимости физических моделей локализации, позволяя выявлять ошибки трилатерации и зоны с высокой неопределённостью («тёмные зоны») в помещении.</w:t>
      </w:r>
    </w:p>
    <w:p>
      <w:pPr>
        <w:pStyle w:val="Normal"/>
        <w:ind w:firstLine="720"/>
        <w:rPr/>
      </w:pPr>
      <w:r>
        <w:rPr/>
        <w:t>Ключевые ограничения метода включают:</w:t>
      </w:r>
    </w:p>
    <w:p>
      <w:pPr>
        <w:pStyle w:val="Normal"/>
        <w:numPr>
          <w:ilvl w:val="0"/>
          <w:numId w:val="2"/>
        </w:numPr>
        <w:ind w:firstLine="708" w:left="0"/>
        <w:rPr/>
      </w:pPr>
      <w:r>
        <w:rPr/>
        <w:t>Привязка к конкретному помещению</w:t>
      </w:r>
      <w:r>
        <w:rPr>
          <w:lang w:val="ru-RU"/>
        </w:rPr>
        <w:t>, в связи с которым</w:t>
      </w:r>
      <w:r>
        <w:rPr/>
        <w:t xml:space="preserve"> любое изменение планировки, мебели или препятствий требует повторного сбора данных и обучения;</w:t>
      </w:r>
    </w:p>
    <w:p>
      <w:pPr>
        <w:pStyle w:val="Normal"/>
        <w:numPr>
          <w:ilvl w:val="0"/>
          <w:numId w:val="2"/>
        </w:numPr>
        <w:ind w:firstLine="708" w:left="0"/>
        <w:rPr/>
      </w:pPr>
      <w:r>
        <w:rPr/>
        <w:t>Чувствительность к шуму и временным колебаниям RSSI, включая влияние многолучевого распространения и внешних радиопомех.</w:t>
      </w:r>
    </w:p>
    <w:p>
      <w:pPr>
        <w:pStyle w:val="Heading3"/>
        <w:ind w:firstLine="720"/>
        <w:rPr/>
      </w:pPr>
      <w:bookmarkStart w:id="32" w:name="_uefexwsbcvp6"/>
      <w:bookmarkStart w:id="33" w:name="_Toc225707591"/>
      <w:bookmarkStart w:id="34" w:name="_gpu7y2uja82o"/>
      <w:bookmarkEnd w:id="32"/>
      <w:bookmarkEnd w:id="34"/>
      <w:r>
        <w:rPr/>
        <w:t>1.3.</w:t>
      </w:r>
      <w:r>
        <w:rPr>
          <w:lang w:val="ru-RU"/>
        </w:rPr>
        <w:t>3</w:t>
      </w:r>
      <w:r>
        <w:rPr/>
        <w:t xml:space="preserve"> Методы идентификации двойников</w:t>
      </w:r>
      <w:r>
        <w:rPr>
          <w:lang w:val="ru-RU"/>
        </w:rPr>
        <w:t xml:space="preserve"> </w:t>
      </w:r>
      <w:r>
        <w:rPr/>
        <w:t>на основе информации о состоянии канала (Channel State Information, CSI)</w:t>
      </w:r>
      <w:bookmarkEnd w:id="33"/>
    </w:p>
    <w:p>
      <w:pPr>
        <w:pStyle w:val="Normal"/>
        <w:ind w:firstLine="720"/>
        <w:rPr/>
      </w:pPr>
      <w:r>
        <w:rPr/>
        <w:t>Методы, основанные на информации о состоянии канала (CSI), используют детальные характеристики радиоканала для обнаружения и идентификации источников излучения. При применении данного подхода приемники, в отличие от обычного режима работы, фиксирующего лишь среднюю мощность сигнала (RSSI), собирают расширенную информацию - CSI - обеспечивающую измерение амплитуды и фазы каждого поднесущего OFDM-символа, что позволяет формировать пространственно-частотное распределение сигнала и получать более точные признаки источника.</w:t>
      </w:r>
    </w:p>
    <w:p>
      <w:pPr>
        <w:pStyle w:val="Normal"/>
        <w:ind w:firstLine="720"/>
        <w:rPr/>
      </w:pPr>
      <w:r>
        <w:rPr/>
        <w:t>Основные этапы работы методов CSI включают:</w:t>
      </w:r>
    </w:p>
    <w:p>
      <w:pPr>
        <w:pStyle w:val="Normal"/>
        <w:numPr>
          <w:ilvl w:val="0"/>
          <w:numId w:val="3"/>
        </w:numPr>
        <w:ind w:firstLine="708" w:left="0"/>
        <w:rPr/>
      </w:pPr>
      <w:r>
        <w:rPr/>
        <w:t>Сбор CSI с одного или нескольких сенсорных узлов</w:t>
      </w:r>
      <w:r>
        <w:rPr>
          <w:lang w:val="ru-RU"/>
        </w:rPr>
        <w:t>. На начальном этапе</w:t>
      </w:r>
      <w:r>
        <w:rPr/>
        <w:t xml:space="preserve"> каждый узел регистрирует многомерные показатели канала, включая фазу и амплитуду по поднесущим OFDM, что обеспечивает формирование высокоточной многомерной матрицы характеристик канала;</w:t>
      </w:r>
    </w:p>
    <w:p>
      <w:pPr>
        <w:pStyle w:val="Normal"/>
        <w:numPr>
          <w:ilvl w:val="0"/>
          <w:numId w:val="3"/>
        </w:numPr>
        <w:ind w:firstLine="708" w:left="0"/>
        <w:rPr/>
      </w:pPr>
      <w:r>
        <w:rPr/>
        <w:t>Сопоставление с эталонными профилями</w:t>
      </w:r>
      <w:r>
        <w:rPr>
          <w:lang w:val="ru-RU"/>
        </w:rPr>
        <w:t xml:space="preserve">. На данном этапе </w:t>
      </w:r>
      <w:r>
        <w:rPr/>
        <w:t>CSI-профили известных точек доступа и клиентских устройств формируют эталонную базу, с которой сравниваются текущие измерения для выявления отклонений;</w:t>
      </w:r>
    </w:p>
    <w:p>
      <w:pPr>
        <w:pStyle w:val="Normal"/>
        <w:numPr>
          <w:ilvl w:val="0"/>
          <w:numId w:val="3"/>
        </w:numPr>
        <w:ind w:firstLine="708" w:left="0"/>
        <w:rPr/>
      </w:pPr>
      <w:r>
        <w:rPr/>
        <w:t>Обнаружение аномалий – значительные расхождения между текущими CSI и эталонными моделями указывают на появление нового источника, замену или подмену точки доступа, а также на изменение условий радиосреды;</w:t>
      </w:r>
    </w:p>
    <w:p>
      <w:pPr>
        <w:pStyle w:val="Normal"/>
        <w:numPr>
          <w:ilvl w:val="0"/>
          <w:numId w:val="3"/>
        </w:numPr>
        <w:ind w:firstLine="708" w:left="0"/>
        <w:rPr/>
      </w:pPr>
      <w:r>
        <w:rPr/>
        <w:t>Кластеризация и детектирование двойников – CSI позволяет различать устройства с одинаковым BSSID, если их физическая позиция или окружение различаются, что недоступно при использовании логического обнаружения, опирающегося на сравнении BSSID с базами, обеспечивая дополнительный уровень дифференциации и контроля.</w:t>
      </w:r>
    </w:p>
    <w:p>
      <w:pPr>
        <w:pStyle w:val="Normal"/>
        <w:ind w:firstLine="720"/>
        <w:rPr/>
      </w:pPr>
      <w:r>
        <w:rPr/>
        <w:t>Методы на основе CSI обладают высокой чувствительностью к многолучевому распространению, отражениям, препятствиям, и передвигающимся объектам, например, людям, что делает их сложным в применении для сложных помещений с большим количеством объектов и металлических конструкций. Однако успешное применение, пусть и требующее</w:t>
      </w:r>
      <w:r>
        <w:rPr>
          <w:lang w:val="ru-RU"/>
        </w:rPr>
        <w:t xml:space="preserve"> специализированного оборудования, позволяет выявлять угрозы, скрытые от классических методов обнаружения.</w:t>
      </w:r>
    </w:p>
    <w:p>
      <w:pPr>
        <w:pStyle w:val="Normal"/>
        <w:ind w:firstLine="720"/>
        <w:rPr>
          <w:lang w:val="ru-RU"/>
        </w:rPr>
      </w:pPr>
      <w:r>
        <w:rPr/>
        <w:t>CSI-методы расширяют возможности обнаружения и идентификации источников, предоставляя вспомогательные признаки для мультимодальной модели, включая векторные и статистические характеристики радиоканала, которые могут использоваться совместно с физическими моделями, радиокартами и аналитикой активности устройств</w:t>
      </w:r>
      <w:r>
        <w:rPr>
          <w:lang w:val="ru-RU"/>
        </w:rPr>
        <w:t>.</w:t>
      </w:r>
      <w:bookmarkStart w:id="35" w:name="_gn67or9b9b3j"/>
      <w:bookmarkEnd w:id="35"/>
    </w:p>
    <w:p>
      <w:pPr>
        <w:pStyle w:val="Normal"/>
        <w:ind w:hanging="0"/>
        <w:rPr>
          <w:highlight w:val="none"/>
          <w:shd w:fill="FF4000" w:val="clear"/>
        </w:rPr>
      </w:pPr>
      <w:r>
        <w:rPr>
          <w:shd w:fill="FF4000" w:val="clear"/>
        </w:rPr>
        <w:t xml:space="preserve"> </w:t>
      </w:r>
      <w:r>
        <w:rPr>
          <w:shd w:fill="FF4000" w:val="clear"/>
        </w:rPr>
        <w:t>ЗДЕСЬ ДОЛЖЕН БЫТЬ ВЫВОД!!!</w:t>
      </w:r>
      <w:r>
        <w:br w:type="page"/>
      </w:r>
    </w:p>
    <w:p>
      <w:pPr>
        <w:pStyle w:val="Heading1"/>
        <w:spacing w:lineRule="auto" w:line="276" w:before="0" w:after="0"/>
        <w:ind w:hanging="0"/>
        <w:jc w:val="center"/>
        <w:rPr/>
      </w:pPr>
      <w:bookmarkStart w:id="36" w:name="_Toc225707592"/>
      <w:bookmarkStart w:id="37" w:name="_u1dzckteoo6x"/>
      <w:bookmarkEnd w:id="37"/>
      <w:r>
        <w:rPr/>
        <w:t>ГЛАВА 2. АНАЛИЗ СУЩЕСТВУЮЩИХ ПОДХОДОВ К ОБЕСПЕЧЕНИЮ БЕЗОПАСНОСТИ WI-FI СЕТЕЙ В КРЕДИТНО-ФИНАНСОВЫХ ОРГАНИЗАЦИЯХ</w:t>
      </w:r>
      <w:bookmarkEnd w:id="36"/>
    </w:p>
    <w:p>
      <w:pPr>
        <w:pStyle w:val="Normal"/>
        <w:ind w:firstLine="720"/>
        <w:rPr/>
      </w:pPr>
      <w:r>
        <w:rPr/>
        <w:t>2.1. Угрозы, связанные с использованием незарегистрированных Wi-Fi точек доступа</w:t>
      </w:r>
    </w:p>
    <w:p>
      <w:pPr>
        <w:pStyle w:val="Normal"/>
        <w:ind w:firstLine="720"/>
        <w:rPr/>
      </w:pPr>
      <w:r>
        <w:rPr/>
        <w:t>2.1.1. Классификация незарегистрированных точек доступа и модель угроз</w:t>
      </w:r>
    </w:p>
    <w:p>
      <w:pPr>
        <w:pStyle w:val="Normal"/>
        <w:ind w:firstLine="720"/>
        <w:rPr/>
      </w:pPr>
      <w:r>
        <w:rPr/>
        <w:t>Незарегистрированные беспроводные точки доступа представляют собой устройства, функционирующие в радиочастотной среде организации без включения в управляемую сетевую инфраструктуру и без контроля со стороны подразделений информационной безопасности. В условиях кредитно-финансовых организаций такие устройства формируют неконтролируемые беспроводные каналы передачи данных, нарушающие принцип единого сетевого периметра.</w:t>
      </w:r>
    </w:p>
    <w:p>
      <w:pPr>
        <w:pStyle w:val="Normal"/>
        <w:ind w:firstLine="720"/>
        <w:rPr/>
      </w:pPr>
      <w:r>
        <w:rPr/>
        <w:t>С точки зрения происхождения и способа функционирования можно выделить следующие основные классы незарегистрированных точек доступа:</w:t>
      </w:r>
    </w:p>
    <w:p>
      <w:pPr>
        <w:pStyle w:val="Normal"/>
        <w:ind w:firstLine="720"/>
        <w:rPr/>
      </w:pPr>
      <w:r>
        <w:rPr/>
        <w:t>1. Rogue AP (несанкционированная точка доступа, подключённая к внутренней сети). Данный тип устройств физически подключается к проводной инфраструктуре организации и создаёт автономную беспроводную сеть, не зарегистрированную в централизованных системах управления. Основной угрозой является формирование альтернативного входного канала во внутренние сегменты сети, потенциально обходящего механизмы контроля доступа и сетевой сегментации.</w:t>
      </w:r>
    </w:p>
    <w:p>
      <w:pPr>
        <w:pStyle w:val="Normal"/>
        <w:ind w:firstLine="720"/>
        <w:rPr/>
      </w:pPr>
      <w:r>
        <w:rPr/>
        <w:t>2. Evil Twin (поддельная точка доступа). Представляет собой точку доступа, имитирующую параметры легитимной сети (SSID, частично - параметры безопасности). Клиентские устройства могут автоматически подключаться к такому источнику при совпадении сетевых идентификаторов и достаточном уровне сигнала. Данный класс угроз связан с перехватом трафика и реализацией атак типа «man-in-the-middle», а также с возможностью перенаправления пользователей на поддельные ресурсы. Важной особенностью является то, что подобные устройства могут не иметь доступа к внутренней сети организации, но при этом использовать доверие пользователей к известным сетевым идентификаторам.</w:t>
      </w:r>
    </w:p>
    <w:p>
      <w:pPr>
        <w:pStyle w:val="Normal"/>
        <w:ind w:firstLine="720"/>
        <w:rPr/>
      </w:pPr>
      <w:r>
        <w:rPr/>
        <w:t>3. Незарегистрированные пользовательские точки доступа (мобильные хот-споты). Формируются в результате использования сотрудниками встроенных функций мобильных устройств или ноутбуков для раздачи беспроводного доступа. Несмотря на локальный характер функционирования, такие устройства создают неконтролируемый канал передачи данных, потенциально используемый для обхода корпоративной сетевой инфраструктуры и вывода информации за пределы защищённого периметра.</w:t>
      </w:r>
    </w:p>
    <w:p>
      <w:pPr>
        <w:pStyle w:val="Normal"/>
        <w:ind w:firstLine="720"/>
        <w:rPr/>
      </w:pPr>
      <w:r>
        <w:rPr/>
        <w:t>4. Внешние источники радиосигнала. Беспроводные точки доступа, расположенные за пределами физического периметра организации, но обеспечивающие устойчивое покрытие внутри контролируемой зоны. Такие источники могут использоваться для организации атак снаружи или создания ложных сетей с параметрами, схожими с легитимными.</w:t>
      </w:r>
    </w:p>
    <w:p>
      <w:pPr>
        <w:pStyle w:val="Normal"/>
        <w:ind w:firstLine="720"/>
        <w:rPr/>
      </w:pPr>
      <w:r>
        <w:rPr/>
        <w:t>С точки зрения задач мониторинга, указанные классы различаются по степени интеграции в инфраструктуру и наблюдаемости в радиосреде, однако все они приводят к появлению неконтролируемых беспроводных каналов связи. Это формирует необходимость построения специализированных средств обнаружения, ориентированных на анализ радиочастотной обстановки и многомерных признаков сетевой активности.</w:t>
      </w:r>
    </w:p>
    <w:p>
      <w:pPr>
        <w:pStyle w:val="Normal"/>
        <w:ind w:firstLine="720"/>
        <w:rPr/>
      </w:pPr>
      <w:r>
        <w:rPr/>
        <w:t>2.1.2. Модель угроз и формирование инцидентов информационной безопасности</w:t>
      </w:r>
    </w:p>
    <w:p>
      <w:pPr>
        <w:pStyle w:val="Normal"/>
        <w:ind w:firstLine="720"/>
        <w:rPr/>
      </w:pPr>
      <w:r>
        <w:rPr/>
        <w:t>Незарегистрированные точки доступа формируют класс угроз, характеризующийся отсутствием централизованной видимости на уровне традиционных сетевых средств защиты. В отличие от классических сетевых инцидентов, их проявление носит распределённый и неполный характер, зависящий от условий радионаблюдения и доступности сенсорных данных.</w:t>
      </w:r>
    </w:p>
    <w:p>
      <w:pPr>
        <w:pStyle w:val="Normal"/>
        <w:ind w:firstLine="720"/>
        <w:rPr/>
      </w:pPr>
      <w:r>
        <w:rPr/>
        <w:t>С точки зрения модели безопасности целесообразно выделять следующую иерархию представления информации:</w:t>
      </w:r>
    </w:p>
    <w:p>
      <w:pPr>
        <w:pStyle w:val="Normal"/>
        <w:widowControl/>
        <w:numPr>
          <w:ilvl w:val="0"/>
          <w:numId w:val="11"/>
        </w:numPr>
        <w:suppressAutoHyphens w:val="true"/>
        <w:bidi w:val="0"/>
        <w:spacing w:lineRule="auto" w:line="360" w:before="0" w:after="0"/>
        <w:ind w:firstLine="737" w:left="0" w:right="0"/>
        <w:jc w:val="both"/>
        <w:rPr/>
      </w:pPr>
      <w:r>
        <w:rPr/>
        <w:t>наблюдаемое событие радиосреды - первичная фиксация активности в беспроводном канале (кадры, сигнальные параметры, метаданные);</w:t>
      </w:r>
    </w:p>
    <w:p>
      <w:pPr>
        <w:pStyle w:val="Normal"/>
        <w:widowControl/>
        <w:numPr>
          <w:ilvl w:val="0"/>
          <w:numId w:val="11"/>
        </w:numPr>
        <w:suppressAutoHyphens w:val="true"/>
        <w:bidi w:val="0"/>
        <w:spacing w:lineRule="auto" w:line="360" w:before="0" w:after="0"/>
        <w:ind w:firstLine="737" w:left="0" w:right="0"/>
        <w:jc w:val="both"/>
        <w:rPr/>
      </w:pPr>
      <w:r>
        <w:rPr/>
        <w:t>событие обнаружения - результат применения правил анализа и выявления аномальных или запрещённых признаков;</w:t>
      </w:r>
    </w:p>
    <w:p>
      <w:pPr>
        <w:pStyle w:val="Normal"/>
        <w:widowControl/>
        <w:numPr>
          <w:ilvl w:val="0"/>
          <w:numId w:val="11"/>
        </w:numPr>
        <w:suppressAutoHyphens w:val="true"/>
        <w:bidi w:val="0"/>
        <w:spacing w:lineRule="auto" w:line="360" w:before="0" w:after="0"/>
        <w:ind w:firstLine="737" w:left="0" w:right="0"/>
        <w:jc w:val="both"/>
        <w:rPr/>
      </w:pPr>
      <w:r>
        <w:rPr/>
        <w:t>коррелированное событие - агрегирование событий обнаружения по временным интервалам и идентификаторам источников;</w:t>
      </w:r>
    </w:p>
    <w:p>
      <w:pPr>
        <w:pStyle w:val="Normal"/>
        <w:widowControl/>
        <w:numPr>
          <w:ilvl w:val="0"/>
          <w:numId w:val="11"/>
        </w:numPr>
        <w:suppressAutoHyphens w:val="true"/>
        <w:bidi w:val="0"/>
        <w:spacing w:lineRule="auto" w:line="360" w:before="0" w:after="0"/>
        <w:ind w:firstLine="737" w:left="0" w:right="0"/>
        <w:jc w:val="both"/>
        <w:rPr/>
      </w:pPr>
      <w:r>
        <w:rPr/>
        <w:t>инцидент информационной безопасности - логически сформированная сущность, отражающая наличие потенциально опасной активности, связанной с конкретным беспроводным устройством.</w:t>
      </w:r>
    </w:p>
    <w:p>
      <w:pPr>
        <w:pStyle w:val="Normal"/>
        <w:ind w:firstLine="720"/>
        <w:rPr/>
      </w:pPr>
      <w:r>
        <w:rPr/>
        <w:t>Таким образом, инцидент не является первичным наблюдаемым объектом, а формируется на основе корреляции множества частичных наблюдений. Корреляция позволяет объединять разрозненные события в пределах временных окон и по идентификаторам источников, формируя устойчивую картину активности устройства.</w:t>
      </w:r>
    </w:p>
    <w:p>
      <w:pPr>
        <w:pStyle w:val="Normal"/>
        <w:ind w:firstLine="720"/>
        <w:rPr/>
      </w:pPr>
      <w:r>
        <w:rPr/>
        <w:t>2.1.3. Основные векторы угроз и ограничения традиционных средств защиты</w:t>
      </w:r>
    </w:p>
    <w:p>
      <w:pPr>
        <w:pStyle w:val="Normal"/>
        <w:ind w:firstLine="720"/>
        <w:rPr/>
      </w:pPr>
      <w:r>
        <w:rPr/>
        <w:t>Реализация угроз, связанных с незарегистрированными точками доступа, основана на использовании особенностей беспроводных протоколов связи, автоматизации подключения клиентских устройств и ограниченной наблюдаемости радиосреды для классических средств защиты.</w:t>
      </w:r>
    </w:p>
    <w:p>
      <w:pPr>
        <w:pStyle w:val="Normal"/>
        <w:ind w:firstLine="720"/>
        <w:rPr/>
      </w:pPr>
      <w:r>
        <w:rPr/>
        <w:t>Наиболее существенными векторами угроз являются:</w:t>
      </w:r>
    </w:p>
    <w:p>
      <w:pPr>
        <w:pStyle w:val="Normal"/>
        <w:ind w:firstLine="720"/>
        <w:rPr/>
      </w:pPr>
      <w:r>
        <w:rPr/>
        <w:t>1. Перехват трафика и атаки типа «человек посередине». При использовании поддельных точек доступа возможно перенаправление пользовательского трафика через контролируемый злоумышленником узел, что создаёт условия для анализа и модификации передаваемых данных, а также реализации атак перенаправления и подмены сетевых ответов.</w:t>
      </w:r>
    </w:p>
    <w:p>
      <w:pPr>
        <w:pStyle w:val="Normal"/>
        <w:ind w:firstLine="720"/>
        <w:rPr/>
      </w:pPr>
      <w:r>
        <w:rPr/>
      </w:r>
    </w:p>
    <w:p>
      <w:pPr>
        <w:pStyle w:val="Normal"/>
        <w:ind w:firstLine="720"/>
        <w:rPr/>
      </w:pPr>
      <w:r>
        <w:rPr/>
        <w:t>2. Формирование неконтролируемых каналов передачи данных. Rogue AP и пользовательские точки доступа могут создавать альтернативные каналы связи, минующие централизованные средства сетевой безопасности. Это приводит к нарушению принципов сетевой сегментации и снижению эффективности периметровых средств защиты.</w:t>
      </w:r>
    </w:p>
    <w:p>
      <w:pPr>
        <w:pStyle w:val="Normal"/>
        <w:ind w:firstLine="720"/>
        <w:rPr/>
      </w:pPr>
      <w:r>
        <w:rPr/>
        <w:t>3. Обход традиционных средств мониторинга. Классические системы защиты, такие как межсетевые экраны, системы обнаружения вторжений и средства контроля сетевого доступа, ориентированы на анализ трафика внутри управляемой инфраструктуры. Незарегистрированные точки доступа могут функционировать автономно или вне контролируемых сегментов, оставаясь вне зоны видимости таких систем.</w:t>
      </w:r>
    </w:p>
    <w:p>
      <w:pPr>
        <w:pStyle w:val="Normal"/>
        <w:ind w:firstLine="720"/>
        <w:rPr/>
      </w:pPr>
      <w:r>
        <w:rPr/>
        <w:t>Дополнительным фактором является пространственное распространение радиосигнала за пределы физического периметра здания, что позволяет размещать источники угроз вне контролируемой зоны при сохранении взаимодействия с внутренними устройствами.</w:t>
      </w:r>
    </w:p>
    <w:p>
      <w:pPr>
        <w:pStyle w:val="Normal"/>
        <w:ind w:firstLine="720"/>
        <w:rPr/>
      </w:pPr>
      <w:r>
        <w:rPr/>
        <w:t>В результате формируется ситуация ограниченной наблюдаемости беспроводной среды, при которой традиционные средства сетевой безопасности не обеспечивают полного выявления потенциально опасных устройств.</w:t>
      </w:r>
    </w:p>
    <w:p>
      <w:pPr>
        <w:pStyle w:val="Normal"/>
        <w:ind w:firstLine="720"/>
        <w:rPr/>
      </w:pPr>
      <w:r>
        <w:rPr/>
        <w:t>Таким образом, ключевая проблема заключается не только в наличии отдельных типов атак, но и в отсутствии устойчивой модели наблюдения за радиосредой. Это обосновывает необходимость применения специализированных систем радиомониторинга, основанных на анализе многомерных признаков и корреляции событий во временных интервалах.</w:t>
      </w:r>
    </w:p>
    <w:p>
      <w:pPr>
        <w:pStyle w:val="Heading2"/>
        <w:rPr/>
      </w:pPr>
      <w:bookmarkStart w:id="38" w:name="_Toc225707597"/>
      <w:bookmarkStart w:id="39" w:name="_lwpq2tvnk920"/>
      <w:bookmarkEnd w:id="39"/>
      <w:r>
        <w:rPr/>
        <w:t>2.2. Обзор существующих решений для обнаружения несанкционированных беспроводных устройств</w:t>
      </w:r>
      <w:bookmarkEnd w:id="38"/>
    </w:p>
    <w:p>
      <w:pPr>
        <w:pStyle w:val="Heading3"/>
        <w:ind w:firstLine="709"/>
        <w:rPr/>
      </w:pPr>
      <w:bookmarkStart w:id="40" w:name="_Toc225707598"/>
      <w:bookmarkStart w:id="41" w:name="_me60kphlz4nd"/>
      <w:bookmarkEnd w:id="41"/>
      <w:r>
        <w:rPr/>
        <w:t>2.2.1. Системы WIDS и WIPS: принципы настройки, развертывания и функционирования</w:t>
      </w:r>
      <w:bookmarkEnd w:id="40"/>
    </w:p>
    <w:p>
      <w:pPr>
        <w:pStyle w:val="Normal"/>
        <w:rPr/>
      </w:pPr>
      <w:r>
        <w:rPr/>
        <w:t xml:space="preserve">Системы </w:t>
      </w:r>
      <w:r>
        <w:rPr>
          <w:lang w:val="ru-RU"/>
        </w:rPr>
        <w:t>обнаружения беспроводных вторжений (</w:t>
      </w:r>
      <w:r>
        <w:rPr/>
        <w:t>WIDS</w:t>
      </w:r>
      <w:r>
        <w:rPr>
          <w:lang w:val="ru-RU"/>
        </w:rPr>
        <w:t xml:space="preserve"> – </w:t>
      </w:r>
      <w:r>
        <w:rPr/>
        <w:t xml:space="preserve">Wireless Intrusion Detection System) и </w:t>
      </w:r>
      <w:r>
        <w:rPr>
          <w:lang w:val="ru-RU"/>
        </w:rPr>
        <w:t>системы предотвращения безпроводных вторжений (</w:t>
      </w:r>
      <w:r>
        <w:rPr/>
        <w:t>WIPS</w:t>
      </w:r>
      <w:r>
        <w:rPr>
          <w:lang w:val="ru-RU"/>
        </w:rPr>
        <w:t>–</w:t>
      </w:r>
      <w:r>
        <w:rPr/>
        <w:t>Wireless Intrusion Prevention System) представляют собой специализированные средства контроля радиочастотной среды, предназначенные для обнаружения и, в ряде случаев, активного противодействия несанкционированным беспроводным устройствам. В инфраструктуре кредитно-финансовых организаций данные решения выступают как дополнительный уровень защиты, дополняющий традиционные механизмы сетевой безопасности.</w:t>
      </w:r>
    </w:p>
    <w:p>
      <w:pPr>
        <w:pStyle w:val="Normal"/>
        <w:rPr/>
      </w:pPr>
      <w:r>
        <w:rPr/>
        <w:t>WIDS ориентированы на пассивный мониторинг радиосреды. Основной принцип их работы заключается в непрерывном анализе служебных и пользовательских кадров стандарта IEEE 802.11, передаваемых в контролируемом диапазоне частот. WIPS расширяют функциональность WIDS за счёт активного воздействия на выявленные угрозы. Помимо детектирования, система способна инициировать процедуры предотвращения, включая:</w:t>
      </w:r>
    </w:p>
    <w:p>
      <w:pPr>
        <w:pStyle w:val="Normal"/>
        <w:numPr>
          <w:ilvl w:val="0"/>
          <w:numId w:val="6"/>
        </w:numPr>
        <w:ind w:firstLine="709" w:left="0"/>
        <w:rPr/>
      </w:pPr>
      <w:r>
        <w:rPr/>
        <w:t>отправку deauthentication-кадров для разрыва соединения клиента с подозрительной точкой доступа;</w:t>
      </w:r>
    </w:p>
    <w:p>
      <w:pPr>
        <w:pStyle w:val="Normal"/>
        <w:numPr>
          <w:ilvl w:val="0"/>
          <w:numId w:val="6"/>
        </w:numPr>
        <w:ind w:firstLine="709" w:left="0"/>
        <w:rPr/>
      </w:pPr>
      <w:r>
        <w:rPr/>
        <w:t>блокировку ассоциации устройств с обнаруженной сетью;</w:t>
      </w:r>
    </w:p>
    <w:p>
      <w:pPr>
        <w:pStyle w:val="Normal"/>
        <w:numPr>
          <w:ilvl w:val="0"/>
          <w:numId w:val="6"/>
        </w:numPr>
        <w:ind w:firstLine="709" w:left="0"/>
        <w:rPr/>
      </w:pPr>
      <w:r>
        <w:rPr/>
        <w:t>автоматическое обновление политик доступа.</w:t>
      </w:r>
    </w:p>
    <w:p>
      <w:pPr>
        <w:pStyle w:val="Normal"/>
        <w:rPr/>
      </w:pPr>
      <w:r>
        <w:rPr/>
        <w:t>Активное противодействие требует строгой настройки политик, поскольку некорректная классификация устройства может привести к нарушению работы легитимных сервисов. В условиях КФО применение WIPS, как правило, сопровождается регламентированными сценариями реагирования и журналированием всех операций.</w:t>
      </w:r>
    </w:p>
    <w:p>
      <w:pPr>
        <w:pStyle w:val="Normal"/>
        <w:rPr/>
      </w:pPr>
      <w:r>
        <w:rPr/>
        <w:t>В корпоративной практике используются три основные схемы внедрения WIDS/WIPS, различающиеся по архитектуре, стоимости и уровню обеспечиваемой видимости радиосреды.</w:t>
      </w:r>
    </w:p>
    <w:p>
      <w:pPr>
        <w:pStyle w:val="Normal"/>
        <w:rPr/>
      </w:pPr>
      <w:r>
        <w:rPr/>
        <w:t>1. Интеграция в существующую Wi-Fi инфраструктуру. В данном случае точки доступа функционируют в режиме двойного назначения: часть времени они обслуживают клиентские устройства, а часть - осуществляют сканирование радиоканалов. Такой подход широко применяется в решениях ведущих вендоров, а также реализован в контроллерных системах, таких как SoftWLC компании Элтекс [5]. Его основным преимуществом является минимизация дополнительных капитальных затрат, поскольку не требуется развёртывание отдельной сенсорной сети.</w:t>
      </w:r>
    </w:p>
    <w:p>
      <w:pPr>
        <w:pStyle w:val="Normal"/>
        <w:rPr/>
      </w:pPr>
      <w:r>
        <w:rPr/>
        <w:t>Однако данный подход имеет ряд существенных ограничений. Сканирование радиоэфира носит прерывистый характер (time-slicing), так как точка доступа вынуждена делить ресурсы между обслуживанием клиентов и мониторингом. Это приводит к снижению вероятности обнаружения кратковременных или узконаправленных атак, а также уменьшает точность локализации источников угроз. Таким образом, контроллерная модель обеспечивает базовый уровень защиты при относительно низкой стоимости, но уступает специализированным решениям по полноте наблюдения.</w:t>
      </w:r>
    </w:p>
    <w:p>
      <w:pPr>
        <w:pStyle w:val="Normal"/>
        <w:rPr/>
      </w:pPr>
      <w:r>
        <w:rPr/>
        <w:t>2. Выделенные сенсоры радиомониторинга. В рамках данной модели в защищаемой зоне устанавливаются специализированные устройства, функционирующие исключительно в режиме пассивного прослушивания радиоэфира. Такие сенсоры не обслуживают клиентские подключения и способны осуществлять непрерывный мониторинг всех доступных каналов, что существенно повышает вероятность обнаружения атак и точность анализа радиосреды.</w:t>
      </w:r>
    </w:p>
    <w:p>
      <w:pPr>
        <w:pStyle w:val="Normal"/>
        <w:rPr/>
      </w:pPr>
      <w:r>
        <w:rPr/>
        <w:t>Данная архитектура обеспечивает максимальный уровень видимости (visibility), включая фиксацию кратковременных событий, анализ аномалий на уровне физического и канального уровней, а также более точную локализацию источников излучения. Вместе с тем она характеризуется значительно более высокой стоимостью внедрения. Cтоимость одного сенсора в зарубежных решениях с учётом лицензирования и внедрения может составлять сотни и тысячи долларов, а для полного покрытия офисного пространства требуется установка нескольких устройств на этаж или группу помещений. В результате стоимость покрытия одной комнаты может достигать быть запредельно высокой для небольших предприятий КФО, особенно в условиях высокой плотности мониторинга, что ограничивает применение данной модели преимущественно объектами с повышенными требованиями к безопасности.</w:t>
      </w:r>
    </w:p>
    <w:p>
      <w:pPr>
        <w:pStyle w:val="Normal"/>
        <w:rPr/>
      </w:pPr>
      <w:r>
        <w:rPr/>
        <w:t>3. Гибридная модель с централизованным контроллером. Гибридный подход сочетает элементы двух предыдущих моделей и предполагает использование как точек доступа с функциями мониторинга, так и выделенных сенсоров. Управление осуществляется через единый программный комплекс, агрегирующий телеметрию от всех источников и обеспечивающий централизованный анализ событий.</w:t>
      </w:r>
    </w:p>
    <w:p>
      <w:pPr>
        <w:pStyle w:val="Normal"/>
        <w:rPr/>
      </w:pPr>
      <w:r>
        <w:rPr/>
        <w:t>Данный подход позволяет оптимизировать соотношение стоимости и эффективности: критически важные зоны могут покрываться выделенными сенсорами, тогда как в менее чувствительных сегментах используется встроенный функционал точек доступа. На российском рынке подобная архитектура также реализуется в контроллерных решениях, включая продукты компании Элтекс, где механизмы WIDS/WIPS интегрированы в систему управления, обеспечивая единое пространство мониторинга и реагирования.</w:t>
      </w:r>
    </w:p>
    <w:p>
      <w:pPr>
        <w:pStyle w:val="Normal"/>
        <w:rPr/>
      </w:pPr>
      <w:r>
        <w:rPr/>
        <w:t>Несмотря на развитый функционал, системы WIDS/WIPS имеют ряд существенных ограничений, связанных как с архитектурными особенностями, так и с эксплуатационными факторами.</w:t>
      </w:r>
    </w:p>
    <w:p>
      <w:pPr>
        <w:pStyle w:val="Normal"/>
        <w:rPr/>
      </w:pPr>
      <w:r>
        <w:rPr/>
        <w:t>К числу ключевых ограничений относятся:</w:t>
      </w:r>
    </w:p>
    <w:p>
      <w:pPr>
        <w:pStyle w:val="Normal"/>
        <w:widowControl/>
        <w:numPr>
          <w:ilvl w:val="0"/>
          <w:numId w:val="10"/>
        </w:numPr>
        <w:bidi w:val="0"/>
        <w:spacing w:lineRule="auto" w:line="360" w:before="0" w:after="0"/>
        <w:ind w:firstLine="720" w:left="0" w:right="0"/>
        <w:jc w:val="both"/>
        <w:rPr/>
      </w:pPr>
      <w:r>
        <w:rPr/>
        <w:t>зависимость эффективности обнаружения от плотности размещения сенсоров или точек доступа;</w:t>
      </w:r>
    </w:p>
    <w:p>
      <w:pPr>
        <w:pStyle w:val="Normal"/>
        <w:widowControl/>
        <w:numPr>
          <w:ilvl w:val="0"/>
          <w:numId w:val="10"/>
        </w:numPr>
        <w:bidi w:val="0"/>
        <w:spacing w:lineRule="auto" w:line="360" w:before="0" w:after="0"/>
        <w:ind w:firstLine="720" w:left="0" w:right="0"/>
        <w:jc w:val="both"/>
        <w:rPr/>
      </w:pPr>
      <w:r>
        <w:rPr/>
        <w:t>высокая стоимость оборудования и лицензирования, особенно для сенсорных систем;</w:t>
      </w:r>
    </w:p>
    <w:p>
      <w:pPr>
        <w:pStyle w:val="Normal"/>
        <w:widowControl/>
        <w:numPr>
          <w:ilvl w:val="0"/>
          <w:numId w:val="10"/>
        </w:numPr>
        <w:bidi w:val="0"/>
        <w:spacing w:lineRule="auto" w:line="360" w:before="0" w:after="0"/>
        <w:ind w:firstLine="720" w:left="0" w:right="0"/>
        <w:jc w:val="both"/>
        <w:rPr/>
      </w:pPr>
      <w:r>
        <w:rPr/>
        <w:t>значительные затраты на масштабирование в распределённых и филиальных сетях.</w:t>
      </w:r>
    </w:p>
    <w:p>
      <w:pPr>
        <w:pStyle w:val="Normal"/>
        <w:rPr/>
      </w:pPr>
      <w:r>
        <w:rPr/>
        <w:t>Одним из наиболее важных факторов является компромисс между стоимостью и полнотой наблюдения радиосреды. Интегрированные (контроллерные) решения, как правило, характеризуются низкой стоимостью внедрения за счёт использования существующей инфраструктуры, однако обеспечивают ограниченную видимость из-за прерывистого характера сканирования. В свою очередь, сенсорные системы требуют значительных инвестиций, но обеспечивают непрерывный мониторинг и более высокий уровень обнаружения угроз.</w:t>
      </w:r>
    </w:p>
    <w:p>
      <w:pPr>
        <w:pStyle w:val="Normal"/>
        <w:rPr/>
      </w:pPr>
      <w:r>
        <w:rPr/>
        <w:t>Дополнительную сложность представляет необходимость корректной настройки политик безопасности и интерпретации большого объёма событий. Высокая чувствительность систем может приводить к увеличению числа ложных срабатываний, тогда как избыточное упрощение политик снижает уровень защищённости. Это требует наличия квалифицированного персонала и постоянной адаптации конфигурации под особенности конкретной инфраструктуры.</w:t>
      </w:r>
    </w:p>
    <w:p>
      <w:pPr>
        <w:pStyle w:val="Normal"/>
        <w:rPr/>
      </w:pPr>
      <w:r>
        <w:rPr/>
        <w:t>Кроме того, активные механизмы предотвращения вторжений (WIPS), такие как принудительная деаутентификация клиентов или подавление несанкционированных устройств, могут быть ограничены нормативными требованиями и внутренними регламентами организации. В ряде случаев их применение требует дополнительного согласования, поскольку вмешательство в радиоэфир может рассматриваться как потенциально дестабилизирующий фактор для легитимных пользователей.</w:t>
      </w:r>
    </w:p>
    <w:p>
      <w:pPr>
        <w:pStyle w:val="Normal"/>
        <w:rPr/>
      </w:pPr>
      <w:r>
        <w:rPr/>
        <w:t>Таким образом, системы WIDS и WIPS представляют собой промышленный стандарт мониторинга беспроводной среды в корпоративных инфраструктурах, однако их практическая эффективность напрямую определяется выбранной архитектурой развертывания. Для кредитно-финансовых организаций данные решения обеспечивают необходимый уровень контроля за состоянием радиосреды и выявлением инцидентов, но их внедрение связано с существенными затратами, необходимостью глубокой интеграции и балансировкой между стоимостью, полнотой мониторинга и требованиями регуляторной среды.</w:t>
      </w:r>
    </w:p>
    <w:p>
      <w:pPr>
        <w:pStyle w:val="Heading3"/>
        <w:rPr/>
      </w:pPr>
      <w:bookmarkStart w:id="42" w:name="_jpjyq1mz8s3k"/>
      <w:bookmarkStart w:id="43" w:name="_Toc225707599"/>
      <w:bookmarkEnd w:id="42"/>
      <w:r>
        <w:rPr/>
        <w:t>2.2.2 Существующие решения класса WIDS/WIPS для обнаружения несанкционированных беспроводных устройств</w:t>
      </w:r>
      <w:bookmarkEnd w:id="43"/>
    </w:p>
    <w:p>
      <w:pPr>
        <w:pStyle w:val="Normal"/>
        <w:rPr/>
      </w:pPr>
      <w:r>
        <w:rPr/>
        <w:t>Одним из показательных примеров реализации систем обнаружения и предотвращения беспроводных вторжений (WIDS/WIPS) на российском рынке являются решения компании Элтекс, в частности программный контроллер беспроводной сети SoftWLC. В рамках данного решения функции WIDS/WIPS интегрированы непосредственно в систему централизованного управления точками доступа, что позволяет осуществлять непрерывный мониторинг радиочастотной среды, выявление несанкционированных точек доступа, а также анализ аномалий в поведении клиентов и сетевых устройств. Использование контроллерной архитектуры обеспечивает агрегацию телеметрии с распределённых точек доступа и формирование единого представления о состоянии беспроводной инфраструктуры организации.</w:t>
      </w:r>
    </w:p>
    <w:p>
      <w:pPr>
        <w:pStyle w:val="Normal"/>
        <w:rPr/>
      </w:pPr>
      <w:r>
        <w:rPr/>
        <w:t>Функциональность WIDS/WIPS в составе SoftWLC включает обнаружение так называемых «чужих» и «враждебных» точек доступа (rogue AP), фиксацию попыток несанкционированного подключения, выявление атак уровня канального доступа (например, деаутентификации), а также базовые механизмы реагирования на инциденты. При этом сами точки доступа могут выполнять роль сенсоров, осуществляя пассивное сканирование радиоэфира без необходимости развёртывания отдельной сенсорной сети. Такой подход соответствует распространённой мировой практике, при которой функции беспроводной безопасности встраиваются в инфраструктуру корпоративной WLAN, снижая требования к дополнительному оборудованию.</w:t>
      </w:r>
    </w:p>
    <w:p>
      <w:pPr>
        <w:pStyle w:val="Normal"/>
        <w:rPr/>
      </w:pPr>
      <w:r>
        <w:rPr/>
        <w:t>В международной практике аналогичный подход реализуется в решениях таких вендоров, как Cisco Systems, Aruba Networks и Juniper Networks, где WIDS/WIPS также интегрированы в контроллеры или облачные платформы управления беспроводной сетью. В этих системах акцент делается на автоматизацию анализа аномалий, применение методов машинного обучения и тесную интеграцию с другими компонентами системы информационной безопасности. Таким образом, российские решения, включая SoftWLC, развиваются в рамках схожей архитектурной парадигмы, однако могут уступать в уровне аналитических возможностей и зрелости механизмов автоматического реагирования.</w:t>
      </w:r>
    </w:p>
    <w:p>
      <w:pPr>
        <w:pStyle w:val="Normal"/>
        <w:rPr/>
      </w:pPr>
      <w:r>
        <w:rPr/>
        <w:t>В то же время следует отметить, что на рынке существуют и специализированные решения, ориентированные не только на Wi-Fi, но и на более широкий спектр беспроводных технологий. Например, системы компании Bastille Networks реализуют концепцию мониторинга «радиочастотного пространства», включая обнаружение устройств, использующих Bluetooth и сотовую связь. В отличие от классических WIDS/WIPS, такие решения ориентированы на пассивное наблюдение за всей радиосредой и могут применяться в высокозащищённых объектах. Однако их функциональность выходит за рамки традиционного понимания WIDS/WIPS, что затрудняет прямое сравнение с контроллерными решениями корпоративного уровня.</w:t>
      </w:r>
    </w:p>
    <w:p>
      <w:pPr>
        <w:pStyle w:val="Normal"/>
        <w:rPr/>
      </w:pPr>
      <w:r>
        <w:rPr/>
        <w:t>Основной проблемой внедрения WIDS/WIPS остаётся высокая сложность мониторинга радиочастотной среды, необходимость точной настройки политик безопасности и интерпретации большого объёма событий. Неправильная конфигурация может приводить к значительному числу ложных срабатываний или, напротив, к пропуску реальных угроз. Интегрированные решения, такие как SoftWLC, обеспечивают централизованное управление и упрощают эксплуатацию, однако могут уступать специализированным системам в гибкости и глубине анализа. В то же время их адаптация под российский рынок, включая поддержку локальных стандартов и требований регуляторов, делает их востребованными в государственных и финансовых организациях, функционирующих в условиях жёсткой нормативной среды.</w:t>
      </w:r>
    </w:p>
    <w:p>
      <w:pPr>
        <w:pStyle w:val="Normal"/>
        <w:rPr/>
      </w:pPr>
      <w:r>
        <w:rPr/>
        <w:t>В этих условиях актуализируется задача разработки альтернативных, экономически эффективных подходов к радиомониторингу, способных обеспечить базовый уровень обнаружения угроз при существенно меньших затратах. Одним из перспективных направлений является построение распределённых сенсорных систем на базе недорогих аппаратных платформ, ориентированных на пассивный сбор радиометаданных. Несмотря на ограниченную чувствительность, меньшую точность измерений и отсутствие расширенных механизмов анализа, такие решения могут быть применимы для первичного контроля радиосреды, выявления грубых аномалий и расширения зоны наблюдения без значительного увеличения стоимости инфраструктуры. Таким образом, использование низкобюджетных сенсорных WIDS может рассматриваться как дополнение к традиционным системам или как самостоятельный инструмент в сценариях с ограниченными ресурсами и требованиями к безопасности.</w:t>
      </w:r>
    </w:p>
    <w:p>
      <w:pPr>
        <w:pStyle w:val="Heading2"/>
        <w:spacing w:lineRule="auto" w:line="276"/>
        <w:ind w:firstLine="720"/>
        <w:rPr/>
      </w:pPr>
      <w:bookmarkStart w:id="44" w:name="_Toc225707601"/>
      <w:bookmarkStart w:id="45" w:name="_lie1vwo5uphv"/>
      <w:bookmarkEnd w:id="45"/>
      <w:r>
        <w:rPr/>
        <w:t>2.3. Анализ применяемых технологий мониторинга радиочастотного спектра и сетевого трафика.</w:t>
      </w:r>
      <w:bookmarkEnd w:id="44"/>
    </w:p>
    <w:p>
      <w:pPr>
        <w:pStyle w:val="Normal"/>
        <w:rPr>
          <w:lang w:val="ru-RU"/>
        </w:rPr>
      </w:pPr>
      <w:r>
        <w:rPr>
          <w:lang w:val="ru-RU"/>
        </w:rPr>
        <w:t>В современных системах WIDS/WIPS реализация мониторинга радиочастотного спектра и анализа сетевого трафика опирается на сочетание нескольких методологических подходов, описанных в разделе 1.3. Их интеграция позволяет обеспечить разносторонний контроль за активностью беспроводных устройств и повысить надёжность обнаружения угроз.</w:t>
      </w:r>
      <w:bookmarkStart w:id="46" w:name="_Toc225707602"/>
      <w:bookmarkEnd w:id="46"/>
    </w:p>
    <w:p>
      <w:pPr>
        <w:pStyle w:val="Normal"/>
        <w:rPr>
          <w:lang w:val="ru-RU"/>
        </w:rPr>
      </w:pPr>
      <w:r>
        <w:rPr>
          <w:lang w:val="ru-RU"/>
        </w:rPr>
        <w:t>2.3.1 Сигнатурно-протокольные методы обнаружения</w:t>
      </w:r>
    </w:p>
    <w:p>
      <w:pPr>
        <w:pStyle w:val="Normal"/>
        <w:rPr>
          <w:lang w:val="ru-RU"/>
        </w:rPr>
      </w:pPr>
      <w:r>
        <w:rPr>
          <w:lang w:val="ru-RU"/>
        </w:rPr>
        <w:t>Сигнатурно-протокольные методы являются базовым уровнем функционирования большинства промышленных WIDS/WIPS-систем и реализуются на уровне анализа кадров стандарта IEEE 802.11. В отличие от простого сбора радиометаданных, данный подход предполагает детальный разбор служебных и управляющих кадров, включая Beacon, Probe, Authentication и Association, а также контроль корректности их структуры и последовательности обмена.</w:t>
      </w:r>
    </w:p>
    <w:p>
      <w:pPr>
        <w:pStyle w:val="Normal"/>
        <w:rPr>
          <w:lang w:val="ru-RU"/>
        </w:rPr>
      </w:pPr>
      <w:r>
        <w:rPr>
          <w:lang w:val="ru-RU"/>
        </w:rPr>
        <w:t>В рамках протокольного анализа система отслеживает логику установления соединений, согласованность параметров точек доступа и клиентов, а также временные характеристики обмена. Это позволяет выявлять аномалии, связанные с нарушением стандартных процедур взаимодействия, например несоответствие параметров аутентификации, аномальные последовательности кадров или некорректные значения полей протокола. Подобные отклонения часто являются индикаторами атак или попыток имитации легитимных устройств.</w:t>
      </w:r>
    </w:p>
    <w:p>
      <w:pPr>
        <w:pStyle w:val="Normal"/>
        <w:rPr>
          <w:lang w:val="ru-RU"/>
        </w:rPr>
      </w:pPr>
      <w:r>
        <w:rPr>
          <w:lang w:val="ru-RU"/>
        </w:rPr>
        <w:t>Сигнатурная составляющая данных методов основана на сопоставлении наблюдаемых событий с заранее определёнными шаблонами атак. К ним относятся, в частности, массовые рассылки deauthentication-кадров, попытки перебора параметров аутентификации, а также характерные признаки функционирования поддельных точек доступа (evil twin). Применение сигнатур позволяет обеспечить детерминированное обнаружение известных угроз с низким уровнем ложных срабатываний.</w:t>
      </w:r>
    </w:p>
    <w:p>
      <w:pPr>
        <w:pStyle w:val="Normal"/>
        <w:rPr>
          <w:lang w:val="ru-RU"/>
        </w:rPr>
      </w:pPr>
      <w:r>
        <w:rPr>
          <w:lang w:val="ru-RU"/>
        </w:rPr>
        <w:t>Данный класс методов характеризуется относительно низкой вычислительной сложностью и не требует специализированного оборудования, что делает его обязательным компонентом практически всех WIDS/WIPS-решений. В то же время его эффективность ограничена возможностью выявления только известных или формализуемых сценариев атак, что обуславливает необходимость использования дополнительных методов анализа.</w:t>
      </w:r>
    </w:p>
    <w:p>
      <w:pPr>
        <w:pStyle w:val="Normal"/>
        <w:rPr>
          <w:lang w:val="ru-RU"/>
        </w:rPr>
      </w:pPr>
      <w:r>
        <w:rPr>
          <w:lang w:val="ru-RU"/>
        </w:rPr>
        <w:t>2.3.2 Методы идентификации на основе сетевых идентификаторов</w:t>
      </w:r>
    </w:p>
    <w:p>
      <w:pPr>
        <w:pStyle w:val="Normal"/>
        <w:rPr>
          <w:lang w:val="ru-RU"/>
        </w:rPr>
      </w:pPr>
      <w:r>
        <w:rPr>
          <w:lang w:val="ru-RU"/>
        </w:rPr>
        <w:t>Методы, основанные на анализе сетевых идентификаторов - SSID, BSSID и MAC-адресов - используются в WIDS/WIPS-системах как механизм первичной фильтрации и инвентаризации беспроводных устройств. Они позволяют быстро разделить наблюдаемые объекты на известные и неизвестные на основе сопоставления с заранее заданными политиками безопасности, включающими белые списки разрешённых точек доступа и параметров сети.</w:t>
      </w:r>
    </w:p>
    <w:p>
      <w:pPr>
        <w:pStyle w:val="Normal"/>
        <w:rPr>
          <w:lang w:val="ru-RU"/>
        </w:rPr>
      </w:pPr>
      <w:r>
        <w:rPr>
          <w:lang w:val="ru-RU"/>
        </w:rPr>
        <w:t>В рамках данного подхода осуществляется сбор и агрегирование радиометаданных, получаемых из Beacon- и Probe-кадров, что даёт возможность формировать актуальную картину присутствия устройств в зоне покрытия. На основе этих данных система выявляет новые или неавторизованные точки доступа, дублирующие SSID легитимных сетей, а также устройства с аномальными комбинациями идентификаторов.</w:t>
      </w:r>
    </w:p>
    <w:p>
      <w:pPr>
        <w:pStyle w:val="Normal"/>
        <w:rPr>
          <w:lang w:val="ru-RU"/>
        </w:rPr>
      </w:pPr>
      <w:r>
        <w:rPr>
          <w:lang w:val="ru-RU"/>
        </w:rPr>
        <w:t>Несмотря на простоту реализации и низкие требования к ресурсам, методы данного класса имеют ряд существенных ограничений. Прежде всего, они чувствительны к подмене MAC-адресов и параметров SSID, что позволяет злоумышленнику имитировать легитимное устройство. Кроме того, эффективность обнаружения напрямую зависит от активности источника: устройства, минимизирующие передачу служебных кадров или работающие в скрытых режимах, могут оставаться вне зоны видимости системы.</w:t>
      </w:r>
    </w:p>
    <w:p>
      <w:pPr>
        <w:pStyle w:val="Normal"/>
        <w:rPr>
          <w:lang w:val="ru-RU"/>
        </w:rPr>
      </w:pPr>
      <w:r>
        <w:rPr>
          <w:lang w:val="ru-RU"/>
        </w:rPr>
        <w:t>В связи с этим методы идентификации на основе сетевых параметров рассматриваются как необходимый, но недостаточный элемент WIDS/WIPS, обеспечивающий базовый уровень контроля радиосреды и служащий основой для применения более сложных механизмов анализа, включая поведенческие и статистические методы.</w:t>
      </w:r>
    </w:p>
    <w:p>
      <w:pPr>
        <w:pStyle w:val="Normal"/>
        <w:rPr>
          <w:lang w:val="ru-RU"/>
        </w:rPr>
      </w:pPr>
      <w:r>
        <w:rPr>
          <w:lang w:val="ru-RU"/>
        </w:rPr>
        <w:t>2.3.3 Статистические и поведенческие методы анализа</w:t>
      </w:r>
    </w:p>
    <w:p>
      <w:pPr>
        <w:pStyle w:val="Normal"/>
        <w:rPr>
          <w:lang w:val="ru-RU"/>
        </w:rPr>
      </w:pPr>
      <w:r>
        <w:rPr>
          <w:lang w:val="ru-RU"/>
        </w:rPr>
        <w:t>Статистические и поведенческие методы анализа используются в WIDS/WIPS-системах для выявления отклонений от нормального функционирования беспроводной сети на основе накопленных данных о её работе. В отличие от сигнатурных методов, ориентированных на заранее известные шаблоны атак, данный подход позволяет обнаруживать ранее неизвестные или модифицированные угрозы за счёт анализа закономерностей активности устройств.</w:t>
      </w:r>
    </w:p>
    <w:p>
      <w:pPr>
        <w:pStyle w:val="Normal"/>
        <w:rPr>
          <w:lang w:val="ru-RU"/>
        </w:rPr>
      </w:pPr>
      <w:r>
        <w:rPr>
          <w:lang w:val="ru-RU"/>
        </w:rPr>
        <w:t>В рамках данного подхода система формирует модель «нормального» поведения радиосреды, учитывающую такие параметры, как интенсивность передачи служебных кадров, распределение Probe- и Beacon-запросов, динамику изменения уровня сигнала (RSSI), а также временные характеристики активности клиентов и точек доступа. На основе этих данных вычисляются статистические показатели, включая средние значения, дисперсию и частотные распределения, которые затем используются для выявления аномалий.</w:t>
      </w:r>
    </w:p>
    <w:p>
      <w:pPr>
        <w:pStyle w:val="Normal"/>
        <w:rPr>
          <w:lang w:val="ru-RU"/>
        </w:rPr>
      </w:pPr>
      <w:r>
        <w:rPr>
          <w:lang w:val="ru-RU"/>
        </w:rPr>
        <w:t>Отклонения от сформированных профилей могут свидетельствовать о наличии угроз, даже если идентификаторы устройств остаются неизменными. Например, резкое увеличение числа Probe-запросов, нестандартные интервалы передачи Beacon-кадров или аномальные колебания уровня сигнала могут указывать на попытки сканирования сети, маскировки устройств или реализации атак типа «evil twin». Таким образом, статистические методы повышают устойчивость системы к спуфингу и другим формам обхода идентификационных механизмов.</w:t>
      </w:r>
    </w:p>
    <w:p>
      <w:pPr>
        <w:pStyle w:val="Normal"/>
        <w:rPr>
          <w:lang w:val="ru-RU"/>
        </w:rPr>
      </w:pPr>
      <w:r>
        <w:rPr>
          <w:lang w:val="ru-RU"/>
        </w:rPr>
        <w:t>В то же время применение данного подхода связано с рядом ограничений. Формирование корректной модели поведения требует накопления значительного объёма данных и адаптации к специфике конкретной среды, включая плотность устройств, архитектуру помещения и особенности радиораспространения. Кроме того, высокая чувствительность к изменениям может приводить к увеличению числа ложных срабатываний, что требует тонкой настройки порогов и параметров анализа.</w:t>
      </w:r>
    </w:p>
    <w:p>
      <w:pPr>
        <w:pStyle w:val="Normal"/>
        <w:rPr>
          <w:lang w:val="ru-RU"/>
        </w:rPr>
      </w:pPr>
      <w:r>
        <w:rPr>
          <w:lang w:val="ru-RU"/>
        </w:rPr>
        <w:t>2.3.4 Методы анализа параметров радиоканала</w:t>
      </w:r>
    </w:p>
    <w:p>
      <w:pPr>
        <w:pStyle w:val="Normal"/>
        <w:rPr>
          <w:lang w:val="ru-RU"/>
        </w:rPr>
      </w:pPr>
      <w:r>
        <w:rPr>
          <w:lang w:val="ru-RU"/>
        </w:rPr>
        <w:t>Методы анализа параметров радиоканала направлены на извлечение дополнительных признаков, характеризующих физические свойства передачи сигнала, и используются для повышения точности идентификации и обнаружения аномалий. К числу таких параметров относятся уровень принимаемого сигнала (RSSI), характеристики шума, а также более сложные показатели, такие как Channel State Information (CSI).</w:t>
      </w:r>
    </w:p>
    <w:p>
      <w:pPr>
        <w:pStyle w:val="Normal"/>
        <w:rPr>
          <w:lang w:val="ru-RU"/>
        </w:rPr>
      </w:pPr>
      <w:r>
        <w:rPr>
          <w:lang w:val="ru-RU"/>
        </w:rPr>
        <w:t>Наиболее широко применяемым параметром является RSSI, который позволяет оценивать относительное положение устройств в пространстве и отслеживать изменения их расположения во времени. При наличии нескольких сенсоров возможно использование методов многопозиционного анализа (мультилатерации) для приблизительной локализации источников сигнала и построения траекторий их перемещения. Это создаёт дополнительные возможности для выявления аномалий, связанных с нехарактерным поведением устройств в пространстве.</w:t>
      </w:r>
    </w:p>
    <w:p>
      <w:pPr>
        <w:pStyle w:val="Normal"/>
        <w:rPr>
          <w:lang w:val="ru-RU"/>
        </w:rPr>
      </w:pPr>
      <w:r>
        <w:rPr>
          <w:lang w:val="ru-RU"/>
        </w:rPr>
        <w:t>Более продвинутые методы основаны на использовании CSI, представляющей собой набор характеристик канала передачи для отдельных поднесущих OFDM-сигнала, включая амплитуду и фазу. Такие данные позволяют учитывать влияние многолучевого распространения и формировать более детализированные признаки радиосигнала. В научных исследованиях показано, что CSI может использоваться для дифференциации устройств и обнаружения атак даже при совпадении сетевых идентификаторов.</w:t>
      </w:r>
    </w:p>
    <w:p>
      <w:pPr>
        <w:pStyle w:val="Normal"/>
        <w:rPr>
          <w:lang w:val="ru-RU"/>
        </w:rPr>
      </w:pPr>
      <w:r>
        <w:rPr>
          <w:lang w:val="ru-RU"/>
        </w:rPr>
        <w:t>Несмотря на высокий потенциал, практическое применение методов данного класса в промышленных WIDS/WIPS-системах ограничено. Это связано с необходимостью использования специализированного оборудования, высокой чувствительностью к изменениям окружающей среды и сложностью обработки данных. В результате в большинстве коммерческих решений используются упрощённые показатели, такие как RSSI и уровень шума, тогда как более сложные методы остаются предметом исследований и экспериментальных разработок.</w:t>
      </w:r>
    </w:p>
    <w:p>
      <w:pPr>
        <w:pStyle w:val="Normal"/>
        <w:rPr>
          <w:lang w:val="ru-RU"/>
        </w:rPr>
      </w:pPr>
      <w:r>
        <w:rPr>
          <w:lang w:val="ru-RU"/>
        </w:rPr>
        <w:t>Таким образом, методы анализа радиоканала расширяют возможности обнаружения за счёт использования физических характеристик сигнала, однако их применение в реальных системах определяется компромиссом между точностью, стоимостью и сложностью реализации.</w:t>
      </w:r>
    </w:p>
    <w:p>
      <w:pPr>
        <w:pStyle w:val="Normal"/>
        <w:rPr>
          <w:lang w:val="ru-RU"/>
        </w:rPr>
      </w:pPr>
      <w:r>
        <w:rPr>
          <w:lang w:val="ru-RU"/>
        </w:rPr>
        <w:t>2.3.5 Интеграция с анализом сетевого трафика и контекстных данных</w:t>
      </w:r>
    </w:p>
    <w:p>
      <w:pPr>
        <w:pStyle w:val="Normal"/>
        <w:rPr>
          <w:lang w:val="ru-RU"/>
        </w:rPr>
      </w:pPr>
      <w:r>
        <w:rPr>
          <w:lang w:val="ru-RU"/>
        </w:rPr>
        <w:t>Помимо анализа радиочастотной среды, современные WIDS/WIPS-системы интегрируют данные сетевого уровня, что позволяет расширить контекст обнаружения и повысить точность интерпретации событий. Такой подход предполагает корреляцию радиометаданных с информацией о сетевых сессиях, характеристиках трафика и действиях пользователей.</w:t>
      </w:r>
    </w:p>
    <w:p>
      <w:pPr>
        <w:pStyle w:val="Normal"/>
        <w:rPr>
          <w:lang w:val="ru-RU"/>
        </w:rPr>
      </w:pPr>
      <w:r>
        <w:rPr>
          <w:lang w:val="ru-RU"/>
        </w:rPr>
        <w:t>В рамках данной интеграции система может отслеживать параметры обмена данными, включая частоту передачи кадров, объём трафика, длительность сессий и характер взаимодействия между клиентами и точками доступа. Это позволяет выявлять аномалии, неочевидные при анализе только радиочастотных параметров, например несоответствие между заявленным идентификатором устройства и его фактическим сетевым поведением, резкие изменения интенсивности передачи данных или появление нетипичных шаблонов взаимодействия.</w:t>
      </w:r>
    </w:p>
    <w:p>
      <w:pPr>
        <w:pStyle w:val="Normal"/>
        <w:rPr>
          <w:lang w:val="ru-RU"/>
        </w:rPr>
      </w:pPr>
      <w:r>
        <w:rPr>
          <w:lang w:val="ru-RU"/>
        </w:rPr>
        <w:t>Дополнительным уровнем анализа является интеграция с внешними системами информационной безопасности, такими как системы журналирования и SIEM. Это обеспечивает объединение событий радиомониторинга с данными других источников, включая проводную сеть, системы аутентификации и средства защиты периметра. В результате формируется целостное представление о состоянии инфраструктуры, позволяющее выявлять комплексные угрозы, затрагивающие как беспроводной, так и проводной сегменты сети.</w:t>
      </w:r>
    </w:p>
    <w:p>
      <w:pPr>
        <w:pStyle w:val="Normal"/>
        <w:rPr>
          <w:lang w:val="ru-RU"/>
        </w:rPr>
      </w:pPr>
      <w:r>
        <w:rPr>
          <w:lang w:val="ru-RU"/>
        </w:rPr>
        <w:t>Следует отметить, что данный уровень анализа характерен прежде всего для полнофункциональных корпоративных решений и требует развитой инфраструктуры сбора и обработки данных. В более простых системах его реализация может быть ограничена или отсутствовать, что снижает глубину контекстного анализа, но не исключает возможность базового обнаружения угроз на других уровнях.</w:t>
      </w:r>
    </w:p>
    <w:p>
      <w:pPr>
        <w:pStyle w:val="Normal"/>
        <w:rPr>
          <w:lang w:val="ru-RU"/>
        </w:rPr>
      </w:pPr>
      <w:r>
        <w:rPr>
          <w:lang w:val="ru-RU"/>
        </w:rPr>
      </w:r>
    </w:p>
    <w:p>
      <w:pPr>
        <w:pStyle w:val="Normal"/>
        <w:rPr>
          <w:lang w:val="ru-RU"/>
        </w:rPr>
      </w:pPr>
      <w:r>
        <w:rPr>
          <w:lang w:val="ru-RU"/>
        </w:rPr>
        <w:t>2.3.6 Ограничения и практическая применимость методов</w:t>
      </w:r>
    </w:p>
    <w:p>
      <w:pPr>
        <w:pStyle w:val="Normal"/>
        <w:rPr>
          <w:lang w:val="ru-RU"/>
        </w:rPr>
      </w:pPr>
      <w:r>
        <w:rPr>
          <w:lang w:val="ru-RU"/>
        </w:rPr>
        <w:t>Рассмотренные методы анализа и идентификации беспроводных устройств образуют многоуровневую систему обнаружения, в которой различные подходы дополняют друг друга, компенсируя взаимные ограничения. Однако практическая реализация всех перечисленных методов в рамках одной системы сопряжена с рядом ограничений, связанных с техническими, экономическими и эксплуатационными факторами.</w:t>
      </w:r>
    </w:p>
    <w:p>
      <w:pPr>
        <w:pStyle w:val="Normal"/>
        <w:rPr>
          <w:lang w:val="ru-RU"/>
        </w:rPr>
      </w:pPr>
      <w:r>
        <w:rPr>
          <w:lang w:val="ru-RU"/>
        </w:rPr>
        <w:t>Ключевым аспектом является компромисс между стоимостью и полнотой анализа. Базовые методы, такие как сигнатурно-протокольный анализ и идентификация по сетевым параметрам, характеризуются низкой вычислительной сложностью и могут быть реализованы даже на ограниченных аппаратных платформах. В то же время более продвинутые подходы, включая статистическое моделирование, пространственный анализ и использование параметров радиоканала, требуют увеличения вычислительных ресурсов, плотности сенсорной сети и качества исходных данных.</w:t>
      </w:r>
    </w:p>
    <w:p>
      <w:pPr>
        <w:pStyle w:val="Normal"/>
        <w:rPr>
          <w:lang w:val="ru-RU"/>
        </w:rPr>
      </w:pPr>
      <w:r>
        <w:rPr>
          <w:lang w:val="ru-RU"/>
        </w:rPr>
        <w:t>Дополнительным фактором является зависимость эффективности методов от характеристик среды. Радиораспространение в помещениях подвержено влиянию отражений, затухания и интерференции, что снижает точность измерений и усложняет интерпретацию результатов, особенно для методов, основанных на физических параметрах сигнала. Аналогично, поведенческие и статистические методы требуют адаптации к конкретной инфраструктуре и могут демонстрировать повышенный уровень ложных срабатываний при изменении условий эксплуатации.</w:t>
      </w:r>
    </w:p>
    <w:p>
      <w:pPr>
        <w:pStyle w:val="Normal"/>
        <w:rPr>
          <w:lang w:val="ru-RU"/>
        </w:rPr>
      </w:pPr>
      <w:r>
        <w:rPr>
          <w:lang w:val="ru-RU"/>
        </w:rPr>
        <w:t>В результате на практике WIDS/WIPS-системы реализуют лишь подмножество возможных методов анализа, выбирая их исходя из требований к безопасности, доступных ресурсов и особенностей инфраструктуры. Полнофункциональные корпоративные решения стремятся к максимальной полноте мониторинга за счёт интеграции всех уровней анализа, тогда как упрощённые или специализированные системы могут ограничиваться базовыми механизмами, обеспечивая приемлемый уровень обнаружения при существенно меньших затратах.</w:t>
      </w:r>
    </w:p>
    <w:p>
      <w:pPr>
        <w:pStyle w:val="Normal"/>
        <w:rPr>
          <w:lang w:val="ru-RU"/>
        </w:rPr>
      </w:pPr>
      <w:r>
        <w:rPr>
          <w:lang w:val="ru-RU"/>
        </w:rPr>
        <w:t>Таким образом, современные WIDS/WIPS представляют собой иерархически организованные системы анализа радиосреды, в которых эффективность определяется не только набором используемых методов, но и их согласованной работой. Переход от простых сигнатурных механизмов к более сложным аналитическим подходам сопровождается ростом требований к ресурсам и усложнением эксплуатации, что обуславливает необходимость оценки качества обнаружения и устойчивости системы к ошибкам. В связи с этим дальнейший анализ целесообразно сосредоточить на количественных метриках эффективности, позволяющих формализовать точность и надёжность работы WIDS/WIPS-решений.</w:t>
      </w:r>
    </w:p>
    <w:p>
      <w:pPr>
        <w:pStyle w:val="Normal"/>
        <w:rPr>
          <w:lang w:val="ru-RU"/>
        </w:rPr>
      </w:pPr>
      <w:r>
        <w:rPr>
          <w:lang w:val="ru-RU"/>
        </w:rPr>
        <w:t>2.4 Методы оценки эффективности систем обнаружения источников излучения</w:t>
      </w:r>
    </w:p>
    <w:p>
      <w:pPr>
        <w:pStyle w:val="Normal"/>
        <w:rPr>
          <w:lang w:val="ru-RU"/>
        </w:rPr>
      </w:pPr>
      <w:r>
        <w:rPr>
          <w:lang w:val="ru-RU"/>
        </w:rPr>
        <w:t>Оценка эффективности систем обнаружения источников излучения в радиочастотной среде требует применения количественных метрик, позволяющих формализовать качество работы WIDS/WIPS и сопоставлять различные подходы к анализу. В отличие от описательных характеристик, такие метрики обеспечивают объективную оценку способности системы выявлять аномальные устройства, минимизировать ложные срабатывания и своевременно реагировать на угрозы.</w:t>
      </w:r>
    </w:p>
    <w:p>
      <w:pPr>
        <w:pStyle w:val="Normal"/>
        <w:rPr>
          <w:lang w:val="ru-RU"/>
        </w:rPr>
      </w:pPr>
      <w:r>
        <w:rPr>
          <w:lang w:val="ru-RU"/>
        </w:rPr>
        <w:t>В рамках данного раздела рассматриваются основные группы метрик, применяемых для оценки качества обнаружения: метрики классификации, характеризующие точность идентификации событий, а также временные характеристики, определяющие скорость реакции системы. Дополнительно могут учитываться пространственные показатели, однако их роль носит вспомогательный характер и зависит от конкретной архитектуры решения.</w:t>
      </w:r>
    </w:p>
    <w:p>
      <w:pPr>
        <w:pStyle w:val="Normal"/>
        <w:rPr>
          <w:lang w:val="ru-RU"/>
        </w:rPr>
      </w:pPr>
      <w:r>
        <w:rPr>
          <w:lang w:val="ru-RU"/>
        </w:rPr>
        <w:t>2.4.1 Метрики классификации обнаружения</w:t>
      </w:r>
    </w:p>
    <w:p>
      <w:pPr>
        <w:pStyle w:val="Normal"/>
        <w:rPr>
          <w:lang w:val="ru-RU"/>
        </w:rPr>
      </w:pPr>
      <w:r>
        <w:rPr>
          <w:lang w:val="ru-RU"/>
        </w:rPr>
        <w:t>Ключевым инструментом оценки эффективности WIDS/WIPS являются метрики классификации, основанные на анализе ошибок обнаружения. Они позволяют количественно оценить способность системы корректно различать легитимные и аномальные источники излучения.</w:t>
      </w:r>
    </w:p>
    <w:p>
      <w:pPr>
        <w:pStyle w:val="Normal"/>
        <w:rPr>
          <w:lang w:val="ru-RU"/>
        </w:rPr>
      </w:pPr>
      <w:r>
        <w:rPr>
          <w:lang w:val="ru-RU"/>
        </w:rPr>
        <w:t>В основе расчёта лежат базовые показатели: True Positive (TP), False Positive (FP), False Negative (FN) и True Negative (TN), отражающие различные исходы классификации событий. На их основе вычисляются производные метрики, включая точность (Precision), полноту (Recall) и частоту ложных срабатываний (False Positive Rate, FPR):</w:t>
      </w:r>
    </w:p>
    <w:tbl>
      <w:tblPr>
        <w:tblStyle w:val="a7"/>
        <w:tblW w:w="962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72"/>
        <w:gridCol w:w="3691"/>
        <w:gridCol w:w="2959"/>
      </w:tblGrid>
      <w:tr>
        <w:trPr/>
        <w:tc>
          <w:tcPr>
            <w:tcW w:w="2972" w:type="dxa"/>
            <w:tcBorders>
              <w:top w:val="nil"/>
              <w:left w:val="nil"/>
              <w:bottom w:val="nil"/>
              <w:right w:val="nil"/>
            </w:tcBorders>
            <w:vAlign w:val="center"/>
          </w:tcPr>
          <w:p>
            <w:pPr>
              <w:pStyle w:val="Normal"/>
              <w:widowControl/>
              <w:suppressAutoHyphens w:val="true"/>
              <w:spacing w:lineRule="auto" w:line="240" w:before="0" w:after="0"/>
              <w:ind w:hanging="0"/>
              <w:jc w:val="center"/>
              <w:rPr>
                <w:lang w:val="en-US"/>
              </w:rPr>
            </w:pPr>
            <w:r>
              <w:rPr/>
            </w:r>
            <m:oMathPara xmlns:m="http://schemas.openxmlformats.org/officeDocument/2006/math">
              <m:oMathParaPr>
                <m:jc m:val="center"/>
              </m:oMathParaPr>
              <m:oMath>
                <m:r>
                  <w:rPr>
                    <w:rFonts w:ascii="Cambria Math" w:hAnsi="Cambria Math"/>
                  </w:rPr>
                  <m:t xml:space="preserve">Precision</m:t>
                </m:r>
                <m:r>
                  <w:rPr>
                    <w:rFonts w:ascii="Cambria Math" w:hAnsi="Cambria Math"/>
                  </w:rPr>
                  <m:t xml:space="preserve">=</m:t>
                </m:r>
                <m:f>
                  <m:num>
                    <m:r>
                      <w:rPr>
                        <w:rFonts w:ascii="Cambria Math" w:hAnsi="Cambria Math"/>
                      </w:rPr>
                      <m:t xml:space="preserve">TP</m:t>
                    </m:r>
                  </m:num>
                  <m:den>
                    <m:r>
                      <w:rPr>
                        <w:rFonts w:ascii="Cambria Math" w:hAnsi="Cambria Math"/>
                      </w:rPr>
                      <m:t xml:space="preserve">TP</m:t>
                    </m:r>
                    <m:r>
                      <w:rPr>
                        <w:rFonts w:ascii="Cambria Math" w:hAnsi="Cambria Math"/>
                      </w:rPr>
                      <m:t xml:space="preserve">+</m:t>
                    </m:r>
                    <m:r>
                      <w:rPr>
                        <w:rFonts w:ascii="Cambria Math" w:hAnsi="Cambria Math"/>
                      </w:rPr>
                      <m:t xml:space="preserve">FP</m:t>
                    </m:r>
                  </m:den>
                </m:f>
              </m:oMath>
            </m:oMathPara>
          </w:p>
        </w:tc>
        <w:tc>
          <w:tcPr>
            <w:tcW w:w="3691" w:type="dxa"/>
            <w:tcBorders>
              <w:top w:val="nil"/>
              <w:left w:val="nil"/>
              <w:bottom w:val="nil"/>
              <w:right w:val="nil"/>
            </w:tcBorders>
          </w:tcPr>
          <w:p>
            <w:pPr>
              <w:pStyle w:val="Normal"/>
              <w:widowControl/>
              <w:suppressAutoHyphens w:val="true"/>
              <w:spacing w:lineRule="auto" w:line="240" w:before="0" w:after="0"/>
              <w:ind w:hanging="0"/>
              <w:jc w:val="center"/>
              <w:rPr>
                <w:lang w:val="en-US"/>
              </w:rPr>
            </w:pPr>
            <w:r>
              <w:rPr/>
            </w:r>
            <m:oMathPara xmlns:m="http://schemas.openxmlformats.org/officeDocument/2006/math">
              <m:oMathParaPr>
                <m:jc m:val="center"/>
              </m:oMathParaPr>
              <m:oMath>
                <m:r>
                  <w:rPr>
                    <w:rFonts w:ascii="Cambria Math" w:hAnsi="Cambria Math"/>
                  </w:rPr>
                  <m:t xml:space="preserve">Recall</m:t>
                </m:r>
                <m:r>
                  <w:rPr>
                    <w:rFonts w:ascii="Cambria Math" w:hAnsi="Cambria Math"/>
                  </w:rPr>
                  <m:t xml:space="preserve">(</m:t>
                </m:r>
                <m:r>
                  <w:rPr>
                    <w:rFonts w:ascii="Cambria Math" w:hAnsi="Cambria Math"/>
                  </w:rPr>
                  <m:t xml:space="preserve">TPR</m:t>
                </m:r>
                <m:r>
                  <w:rPr>
                    <w:rFonts w:ascii="Cambria Math" w:hAnsi="Cambria Math"/>
                  </w:rPr>
                  <m:t xml:space="preserve">)</m:t>
                </m:r>
                <m:r>
                  <w:rPr>
                    <w:rFonts w:ascii="Cambria Math" w:hAnsi="Cambria Math"/>
                  </w:rPr>
                  <m:t xml:space="preserve">=</m:t>
                </m:r>
                <m:f>
                  <m:num>
                    <m:r>
                      <w:rPr>
                        <w:rFonts w:ascii="Cambria Math" w:hAnsi="Cambria Math"/>
                      </w:rPr>
                      <m:t xml:space="preserve">TP</m:t>
                    </m:r>
                  </m:num>
                  <m:den>
                    <m:r>
                      <w:rPr>
                        <w:rFonts w:ascii="Cambria Math" w:hAnsi="Cambria Math"/>
                      </w:rPr>
                      <m:t xml:space="preserve">TP</m:t>
                    </m:r>
                    <m:r>
                      <w:rPr>
                        <w:rFonts w:ascii="Cambria Math" w:hAnsi="Cambria Math"/>
                      </w:rPr>
                      <m:t xml:space="preserve">+</m:t>
                    </m:r>
                    <m:r>
                      <w:rPr>
                        <w:rFonts w:ascii="Cambria Math" w:hAnsi="Cambria Math"/>
                      </w:rPr>
                      <m:t xml:space="preserve">FN</m:t>
                    </m:r>
                  </m:den>
                </m:f>
              </m:oMath>
            </m:oMathPara>
          </w:p>
        </w:tc>
        <w:tc>
          <w:tcPr>
            <w:tcW w:w="2959" w:type="dxa"/>
            <w:tcBorders>
              <w:top w:val="nil"/>
              <w:left w:val="nil"/>
              <w:bottom w:val="nil"/>
              <w:right w:val="nil"/>
            </w:tcBorders>
          </w:tcPr>
          <w:p>
            <w:pPr>
              <w:pStyle w:val="Normal"/>
              <w:widowControl/>
              <w:suppressAutoHyphens w:val="true"/>
              <w:spacing w:lineRule="auto" w:line="240" w:before="0" w:after="0"/>
              <w:ind w:hanging="0"/>
              <w:jc w:val="center"/>
              <w:rPr>
                <w:rFonts w:ascii="Times New Roman" w:hAnsi="Times New Roman" w:eastAsia="Times New Roman" w:cs="Times New Roman"/>
                <w:kern w:val="0"/>
                <w:sz w:val="28"/>
                <w:szCs w:val="28"/>
                <w:lang w:val="ru-RU" w:eastAsia="ru-RU" w:bidi="ar-SA"/>
              </w:rPr>
            </w:pPr>
            <w:r>
              <w:rPr/>
            </w:r>
            <m:oMathPara xmlns:m="http://schemas.openxmlformats.org/officeDocument/2006/math">
              <m:oMathParaPr>
                <m:jc m:val="center"/>
              </m:oMathParaPr>
              <m:oMath>
                <m:r>
                  <w:rPr>
                    <w:rFonts w:ascii="Cambria Math" w:hAnsi="Cambria Math"/>
                  </w:rPr>
                  <m:t xml:space="preserve">FPR</m:t>
                </m:r>
                <m:r>
                  <w:rPr>
                    <w:rFonts w:ascii="Cambria Math" w:hAnsi="Cambria Math"/>
                  </w:rPr>
                  <m:t xml:space="preserve">=</m:t>
                </m:r>
                <m:f>
                  <m:num>
                    <m:r>
                      <w:rPr>
                        <w:rFonts w:ascii="Cambria Math" w:hAnsi="Cambria Math"/>
                      </w:rPr>
                      <m:t xml:space="preserve">FP</m:t>
                    </m:r>
                  </m:num>
                  <m:den>
                    <m:r>
                      <w:rPr>
                        <w:rFonts w:ascii="Cambria Math" w:hAnsi="Cambria Math"/>
                      </w:rPr>
                      <m:t xml:space="preserve">FP</m:t>
                    </m:r>
                    <m:r>
                      <w:rPr>
                        <w:rFonts w:ascii="Cambria Math" w:hAnsi="Cambria Math"/>
                      </w:rPr>
                      <m:t xml:space="preserve">+</m:t>
                    </m:r>
                    <m:r>
                      <w:rPr>
                        <w:rFonts w:ascii="Cambria Math" w:hAnsi="Cambria Math"/>
                      </w:rPr>
                      <m:t xml:space="preserve">TN</m:t>
                    </m:r>
                  </m:den>
                </m:f>
              </m:oMath>
            </m:oMathPara>
          </w:p>
        </w:tc>
      </w:tr>
    </w:tbl>
    <w:p>
      <w:pPr>
        <w:pStyle w:val="Normal"/>
        <w:ind w:firstLine="720"/>
        <w:rPr>
          <w:lang w:val="ru-RU"/>
        </w:rPr>
      </w:pPr>
      <w:r>
        <w:rPr>
          <w:lang w:val="ru-RU"/>
        </w:rPr>
        <w:t>Precision (Точность) отражает долю корректных сигналов среди всех срабатываний, Recall (полнота) – долю обнаруженных угроз среди всех существующих, а FPR (частота ложных срабатываний) характеризует устойчивость системы к ложным тревогам.</w:t>
      </w:r>
    </w:p>
    <w:p>
      <w:pPr>
        <w:pStyle w:val="Normal"/>
        <w:ind w:firstLine="720"/>
        <w:rPr>
          <w:lang w:val="ru-RU"/>
        </w:rPr>
      </w:pPr>
      <w:r>
        <w:rPr>
          <w:lang w:val="ru-RU"/>
        </w:rPr>
        <w:t>Данные метрики позволяют оценить компромисс между полнотой обнаружения и устойчивостью к ложным тревогам. В контексте систем радиомониторинга особое значение имеет показатель Recall, отражающий способность системы выявлять потенциально опасные устройства, тогда как Precision характеризует нагрузку на оператора, связанную с обработкой ложных срабатываний.</w:t>
      </w:r>
    </w:p>
    <w:p>
      <w:pPr>
        <w:pStyle w:val="Normal"/>
        <w:ind w:firstLine="720"/>
        <w:rPr>
          <w:lang w:val="ru-RU"/>
        </w:rPr>
      </w:pPr>
      <w:r>
        <w:rPr>
          <w:lang w:val="ru-RU"/>
        </w:rPr>
        <w:t>Таким образом, метрики классификации формируют основу для сравнения различных алгоритмов обнаружения и настройки параметров системы в зависимости от требований к безопасности и допустимого уровня ошибок.</w:t>
      </w:r>
    </w:p>
    <w:p>
      <w:pPr>
        <w:pStyle w:val="Normal"/>
        <w:ind w:firstLine="720"/>
        <w:rPr>
          <w:lang w:val="ru-RU"/>
        </w:rPr>
      </w:pPr>
      <w:r>
        <w:rPr>
          <w:lang w:val="ru-RU"/>
        </w:rPr>
        <w:t>2.4.2 Временные характеристики обнаружения</w:t>
      </w:r>
    </w:p>
    <w:p>
      <w:pPr>
        <w:pStyle w:val="Normal"/>
        <w:ind w:firstLine="720"/>
        <w:rPr>
          <w:lang w:val="ru-RU"/>
        </w:rPr>
      </w:pPr>
      <w:r>
        <w:rPr>
          <w:lang w:val="ru-RU"/>
        </w:rPr>
        <w:t>Помимо точности классификации, важнейшим показателем эффективности WIDS/WIPS является время реакции системы, определяющее задержку между появлением источника излучения и его фиксацией.</w:t>
      </w:r>
    </w:p>
    <w:p>
      <w:pPr>
        <w:pStyle w:val="Normal"/>
        <w:ind w:firstLine="720"/>
        <w:rPr>
          <w:lang w:val="ru-RU"/>
        </w:rPr>
      </w:pPr>
      <w:r>
        <w:rPr>
          <w:lang w:val="ru-RU"/>
        </w:rPr>
      </w:r>
    </w:p>
    <w:p>
      <w:pPr>
        <w:pStyle w:val="Normal"/>
        <w:ind w:firstLine="720"/>
        <w:rPr>
          <w:lang w:val="ru-RU"/>
        </w:rPr>
      </w:pPr>
      <w:r>
        <w:rPr>
          <w:lang w:val="ru-RU"/>
        </w:rPr>
        <w:t>В общем случае время реакции включает несколько составляющих: задержку сбора данных сенсорными узлами, время обработки и анализа, а также задержку формирования уведомления. Данный параметр напрямую влияет на возможность оперативного реагирования на угрозы, особенно в условиях динамической радиосреды.</w:t>
      </w:r>
    </w:p>
    <w:p>
      <w:pPr>
        <w:pStyle w:val="Normal"/>
        <w:ind w:firstLine="720"/>
        <w:rPr>
          <w:lang w:val="ru-RU"/>
        </w:rPr>
      </w:pPr>
      <w:r>
        <w:rPr>
          <w:lang w:val="ru-RU"/>
        </w:rPr>
        <w:t>Следует отметить, что временные характеристики тесно связаны с используемыми методами обработки данных. В системах с агрегацией наблюдений во временных интервалах увеличение объёма анализируемых данных может способствовать повышению точности обнаружения, однако приводит к росту задержки. В свою очередь, уменьшение интервала анализа позволяет сократить время реакции, но может снижать устойчивость обнаружения к кратковременным и слабовыраженным событиям.</w:t>
      </w:r>
    </w:p>
    <w:p>
      <w:pPr>
        <w:pStyle w:val="Normal"/>
        <w:ind w:firstLine="720"/>
        <w:rPr/>
      </w:pPr>
      <w:r>
        <w:rPr>
          <w:shd w:fill="FF4000" w:val="clear"/>
          <w:lang w:val="ru-RU"/>
        </w:rPr>
        <w:t>ЗДЕСЬ БЫЛИ БЫ ФОРМУЛЫ ДЛЯ ЭКСПЕРИМЕНТА С ОКНАМИ</w:t>
      </w:r>
    </w:p>
    <w:p>
      <w:pPr>
        <w:pStyle w:val="Normal"/>
        <w:ind w:firstLine="720"/>
        <w:rPr>
          <w:lang w:val="ru-RU"/>
        </w:rPr>
      </w:pPr>
      <w:r>
        <w:rPr>
          <w:lang w:val="ru-RU"/>
        </w:rPr>
        <w:t>Таким образом, между точностью обнаружения и скоростью реакции существует компромисс, который должен учитываться при проектировании и оценке эффективности систем радиомониторинга.</w:t>
      </w:r>
    </w:p>
    <w:p>
      <w:pPr>
        <w:pStyle w:val="Heading3"/>
        <w:ind w:hanging="0"/>
        <w:rPr/>
      </w:pPr>
      <w:r>
        <w:rPr/>
        <w:tab/>
        <w:t>2.4.3 Точность пространственной оценки источников</w:t>
      </w:r>
    </w:p>
    <w:p>
      <w:pPr>
        <w:pStyle w:val="Normal"/>
        <w:ind w:hanging="0"/>
        <w:rPr/>
      </w:pPr>
      <w:r>
        <w:rPr/>
        <w:tab/>
        <w:t>В ряде систем радиомониторинга дополнительным показателем эффективности является точность пространственной оценки положения источников излучения. Данный параметр характеризует расхождение между фактическим расположением устройства и координатами, определёнными системой.</w:t>
      </w:r>
    </w:p>
    <w:p>
      <w:pPr>
        <w:pStyle w:val="Normal"/>
        <w:ind w:hanging="0"/>
        <w:rPr/>
      </w:pPr>
      <w:r>
        <w:rPr/>
        <w:tab/>
        <w:t xml:space="preserve">Наиболее распространённой метрикой является среднеквадратичная ошибка (RMSE), позволяющая агрегировать ошибки локализации по множеству наблюдений и получать обобщённую оценку точности. Значение RMSE зависит от ряда факторов, включая количество и расположение сенсорных узлов, стабильность измерений параметров сигнала (например, RSSI), а также особенности радиораспространения в помещении. </w:t>
      </w:r>
      <w:r>
        <w:rPr>
          <w:lang w:val="ru-RU"/>
        </w:rPr>
        <w:t>RMSE вычисляется по формуле:</w:t>
      </w:r>
    </w:p>
    <w:tbl>
      <w:tblPr>
        <w:tblStyle w:val="TableNormal"/>
        <w:tblW w:w="9622" w:type="dxa"/>
        <w:jc w:val="left"/>
        <w:tblInd w:w="5" w:type="dxa"/>
        <w:tblLayout w:type="fixed"/>
        <w:tblCellMar>
          <w:top w:w="100" w:type="dxa"/>
          <w:left w:w="100" w:type="dxa"/>
          <w:bottom w:w="100" w:type="dxa"/>
          <w:right w:w="100" w:type="dxa"/>
        </w:tblCellMar>
        <w:tblLook w:val="04a0" w:noHBand="0" w:noVBand="1" w:firstColumn="1" w:lastRow="0" w:lastColumn="0" w:firstRow="1"/>
      </w:tblPr>
      <w:tblGrid>
        <w:gridCol w:w="988"/>
        <w:gridCol w:w="8077"/>
        <w:gridCol w:w="557"/>
      </w:tblGrid>
      <w:tr>
        <w:trPr/>
        <w:tc>
          <w:tcPr>
            <w:tcW w:w="988" w:type="dxa"/>
            <w:tcBorders/>
          </w:tcPr>
          <w:p>
            <w:pPr>
              <w:pStyle w:val="Normal"/>
              <w:widowControl/>
              <w:suppressAutoHyphens w:val="true"/>
              <w:spacing w:lineRule="auto" w:line="360" w:before="0" w:after="0"/>
              <w:ind w:hanging="0"/>
              <w:jc w:val="both"/>
              <w:rPr>
                <w:lang w:val="ru-RU"/>
              </w:rPr>
            </w:pPr>
            <w:r>
              <w:rPr>
                <w:lang w:val="ru-RU"/>
              </w:rPr>
            </w:r>
          </w:p>
        </w:tc>
        <w:tc>
          <w:tcPr>
            <w:tcW w:w="8077" w:type="dxa"/>
            <w:tcBorders/>
          </w:tcPr>
          <w:p>
            <w:pPr>
              <w:pStyle w:val="Normal"/>
              <w:widowControl/>
              <w:suppressAutoHyphens w:val="true"/>
              <w:spacing w:lineRule="auto" w:line="360" w:before="0" w:after="0"/>
              <w:ind w:hanging="0"/>
              <w:jc w:val="center"/>
              <w:rPr>
                <w:i/>
                <w:i/>
                <w:lang w:val="en-US"/>
              </w:rPr>
            </w:pPr>
            <w:r>
              <w:rPr/>
            </w:r>
            <m:oMathPara xmlns:m="http://schemas.openxmlformats.org/officeDocument/2006/math">
              <m:oMathParaPr>
                <m:jc m:val="center"/>
              </m:oMathParaPr>
              <m:oMath>
                <m:r>
                  <w:rPr>
                    <w:rFonts w:ascii="Cambria Math" w:hAnsi="Cambria Math"/>
                  </w:rPr>
                  <m:t xml:space="preserve">RMSE</m:t>
                </m:r>
                <m:r>
                  <w:rPr>
                    <w:rFonts w:ascii="Cambria Math" w:hAnsi="Cambria Math"/>
                  </w:rPr>
                  <m:t xml:space="preserve">=</m:t>
                </m:r>
                <m:rad>
                  <m:radPr>
                    <m:degHide m:val="1"/>
                  </m:radPr>
                  <m:deg/>
                  <m:e>
                    <m:f>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d>
                          <m:dPr>
                            <m:begChr m:val="|"/>
                            <m:endChr m:val="|"/>
                          </m:dPr>
                          <m:e>
                            <m:sSup>
                              <m:e>
                                <m:d>
                                  <m:dPr>
                                    <m:begChr m:val="("/>
                                    <m:endChr m:val=")"/>
                                  </m:dPr>
                                  <m:e>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acc>
                                      <m:accPr>
                                        <m:chr m:val="^"/>
                                      </m:accPr>
                                      <m:e>
                                        <m:sSub>
                                          <m:e>
                                            <m:r>
                                              <w:rPr>
                                                <w:rFonts w:ascii="Cambria Math" w:hAnsi="Cambria Math"/>
                                              </w:rPr>
                                              <m:t xml:space="preserve">x</m:t>
                                            </m:r>
                                          </m:e>
                                          <m:sub>
                                            <m:r>
                                              <w:rPr>
                                                <w:rFonts w:ascii="Cambria Math" w:hAnsi="Cambria Math"/>
                                              </w:rPr>
                                              <m:t xml:space="preserve">i</m:t>
                                            </m:r>
                                          </m:sub>
                                        </m:sSub>
                                      </m:e>
                                    </m:acc>
                                  </m:e>
                                </m:d>
                              </m:e>
                              <m:sup>
                                <m:r>
                                  <w:rPr>
                                    <w:rFonts w:ascii="Cambria Math" w:hAnsi="Cambria Math"/>
                                  </w:rPr>
                                  <m:t xml:space="preserve">2</m:t>
                                </m:r>
                              </m:sup>
                            </m:sSup>
                            <m:r>
                              <w:rPr>
                                <w:rFonts w:ascii="Cambria Math" w:hAnsi="Cambria Math"/>
                              </w:rPr>
                              <m:t xml:space="preserve">+</m:t>
                            </m:r>
                            <m:s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sSub>
                                          <m:e>
                                            <m:r>
                                              <w:rPr>
                                                <w:rFonts w:ascii="Cambria Math" w:hAnsi="Cambria Math"/>
                                              </w:rPr>
                                              <m:t xml:space="preserve">y</m:t>
                                            </m:r>
                                          </m:e>
                                          <m:sub>
                                            <m:r>
                                              <w:rPr>
                                                <w:rFonts w:ascii="Cambria Math" w:hAnsi="Cambria Math"/>
                                              </w:rPr>
                                              <m:t xml:space="preserve">i</m:t>
                                            </m:r>
                                          </m:sub>
                                        </m:sSub>
                                      </m:e>
                                    </m:acc>
                                  </m:e>
                                </m:d>
                              </m:e>
                              <m:sup>
                                <m:r>
                                  <w:rPr>
                                    <w:rFonts w:ascii="Cambria Math" w:hAnsi="Cambria Math"/>
                                  </w:rPr>
                                  <m:t xml:space="preserve">2</m:t>
                                </m:r>
                              </m:sup>
                            </m:sSup>
                          </m:e>
                        </m:d>
                      </m:e>
                    </m:nary>
                  </m:e>
                </m:rad>
              </m:oMath>
            </m:oMathPara>
          </w:p>
        </w:tc>
        <w:tc>
          <w:tcPr>
            <w:tcW w:w="557" w:type="dxa"/>
            <w:tcBorders/>
          </w:tcPr>
          <w:p>
            <w:pPr>
              <w:pStyle w:val="Normal"/>
              <w:widowControl/>
              <w:suppressAutoHyphens w:val="true"/>
              <w:spacing w:lineRule="auto" w:line="360" w:before="0" w:after="0"/>
              <w:ind w:hanging="0"/>
              <w:jc w:val="both"/>
              <w:rPr>
                <w:lang w:val="ru-RU"/>
              </w:rPr>
            </w:pPr>
            <w:r>
              <w:rPr>
                <w:rFonts w:eastAsia="Times New Roman" w:cs="Times New Roman"/>
                <w:kern w:val="0"/>
                <w:sz w:val="28"/>
                <w:szCs w:val="28"/>
                <w:lang w:val="ru-RU" w:eastAsia="ru-RU" w:bidi="ar-SA"/>
              </w:rPr>
              <w:t>(?)</w:t>
            </w:r>
          </w:p>
        </w:tc>
      </w:tr>
      <w:tr>
        <w:trPr/>
        <w:tc>
          <w:tcPr>
            <w:tcW w:w="988" w:type="dxa"/>
            <w:tcBorders/>
          </w:tcPr>
          <w:p>
            <w:pPr>
              <w:pStyle w:val="Normal"/>
              <w:widowControl/>
              <w:suppressAutoHyphens w:val="true"/>
              <w:spacing w:lineRule="auto" w:line="360" w:before="0" w:after="0"/>
              <w:ind w:hanging="0"/>
              <w:jc w:val="both"/>
              <w:rPr>
                <w:lang w:val="ru-RU"/>
              </w:rPr>
            </w:pPr>
            <w:r>
              <w:rPr>
                <w:rFonts w:eastAsia="Times New Roman" w:cs="Times New Roman"/>
                <w:kern w:val="0"/>
                <w:sz w:val="28"/>
                <w:szCs w:val="28"/>
                <w:lang w:val="ru-RU" w:eastAsia="ru-RU" w:bidi="ar-SA"/>
              </w:rPr>
              <w:t>где:</w:t>
            </w:r>
          </w:p>
        </w:tc>
        <w:tc>
          <w:tcPr>
            <w:tcW w:w="8077" w:type="dxa"/>
            <w:tcBorders/>
          </w:tcPr>
          <w:p>
            <w:pPr>
              <w:pStyle w:val="Normal"/>
              <w:widowControl/>
              <w:suppressAutoHyphens w:val="true"/>
              <w:spacing w:lineRule="auto" w:line="360" w:before="0" w:after="0"/>
              <w:ind w:hanging="0"/>
              <w:jc w:val="both"/>
              <w:rPr>
                <w:lang w:val="ru-RU"/>
              </w:rPr>
            </w:pPr>
            <w:r>
              <w:rPr/>
            </w:r>
            <m:oMath xmlns:m="http://schemas.openxmlformats.org/officeDocument/2006/math">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oMath>
            <w:r>
              <w:rPr>
                <w:rFonts w:eastAsia="Times New Roman" w:cs="Times New Roman"/>
                <w:kern w:val="0"/>
                <w:sz w:val="28"/>
                <w:szCs w:val="28"/>
                <w:lang w:val="ru-RU" w:eastAsia="ru-RU" w:bidi="ar-SA"/>
              </w:rPr>
              <w:t xml:space="preserve"> – </w:t>
            </w:r>
            <w:r>
              <w:rPr>
                <w:rFonts w:eastAsia="Times New Roman" w:cs="Times New Roman"/>
                <w:kern w:val="0"/>
                <w:sz w:val="28"/>
                <w:szCs w:val="28"/>
                <w:lang w:val="ru-RU" w:eastAsia="ru-RU" w:bidi="ar-SA"/>
              </w:rPr>
              <w:t xml:space="preserve">фактические координаты </w:t>
            </w:r>
            <w:r>
              <w:rPr>
                <w:rFonts w:eastAsia="Times New Roman" w:cs="Times New Roman"/>
                <w:kern w:val="0"/>
                <w:sz w:val="28"/>
                <w:szCs w:val="28"/>
                <w:lang w:val="en-US" w:eastAsia="ru-RU" w:bidi="ar-SA"/>
              </w:rPr>
              <w:t>i</w:t>
            </w:r>
            <w:r>
              <w:rPr>
                <w:rFonts w:eastAsia="Times New Roman" w:cs="Times New Roman"/>
                <w:kern w:val="0"/>
                <w:sz w:val="28"/>
                <w:szCs w:val="28"/>
                <w:lang w:val="ru-RU" w:eastAsia="ru-RU" w:bidi="ar-SA"/>
              </w:rPr>
              <w:t>-го источника</w:t>
            </w:r>
          </w:p>
        </w:tc>
        <w:tc>
          <w:tcPr>
            <w:tcW w:w="557" w:type="dxa"/>
            <w:tcBorders/>
          </w:tcPr>
          <w:p>
            <w:pPr>
              <w:pStyle w:val="Normal"/>
              <w:widowControl/>
              <w:suppressAutoHyphens w:val="true"/>
              <w:spacing w:lineRule="auto" w:line="360" w:before="0" w:after="0"/>
              <w:ind w:hanging="0"/>
              <w:jc w:val="both"/>
              <w:rPr>
                <w:lang w:val="ru-RU"/>
              </w:rPr>
            </w:pPr>
            <w:r>
              <w:rPr>
                <w:lang w:val="ru-RU"/>
              </w:rPr>
            </w:r>
          </w:p>
        </w:tc>
      </w:tr>
      <w:tr>
        <w:trPr/>
        <w:tc>
          <w:tcPr>
            <w:tcW w:w="988" w:type="dxa"/>
            <w:tcBorders/>
          </w:tcPr>
          <w:p>
            <w:pPr>
              <w:pStyle w:val="Normal"/>
              <w:widowControl/>
              <w:suppressAutoHyphens w:val="true"/>
              <w:spacing w:lineRule="auto" w:line="360" w:before="0" w:after="0"/>
              <w:ind w:hanging="0"/>
              <w:jc w:val="both"/>
              <w:rPr>
                <w:lang w:val="ru-RU"/>
              </w:rPr>
            </w:pPr>
            <w:r>
              <w:rPr>
                <w:lang w:val="ru-RU"/>
              </w:rPr>
            </w:r>
          </w:p>
        </w:tc>
        <w:tc>
          <w:tcPr>
            <w:tcW w:w="8077" w:type="dxa"/>
            <w:tcBorders/>
          </w:tcPr>
          <w:p>
            <w:pPr>
              <w:pStyle w:val="Normal"/>
              <w:widowControl/>
              <w:suppressAutoHyphens w:val="true"/>
              <w:spacing w:lineRule="auto" w:line="360" w:before="0" w:after="0"/>
              <w:ind w:hanging="0"/>
              <w:jc w:val="both"/>
              <w:rPr>
                <w:iCs/>
                <w:lang w:val="ru-RU"/>
              </w:rPr>
            </w:pPr>
            <w:r>
              <w:rPr/>
            </w:r>
            <m:oMath xmlns:m="http://schemas.openxmlformats.org/officeDocument/2006/math">
              <m:acc>
                <m:accPr>
                  <m:chr m:val="^"/>
                </m:accPr>
                <m:e>
                  <m:sSub>
                    <m:e>
                      <m:r>
                        <w:rPr>
                          <w:rFonts w:ascii="Cambria Math" w:hAnsi="Cambria Math"/>
                        </w:rPr>
                        <m:t xml:space="preserve">x</m:t>
                      </m:r>
                    </m:e>
                    <m:sub>
                      <m:r>
                        <w:rPr>
                          <w:rFonts w:ascii="Cambria Math" w:hAnsi="Cambria Math"/>
                        </w:rPr>
                        <m:t xml:space="preserve">i</m:t>
                      </m:r>
                    </m:sub>
                  </m:sSub>
                </m:e>
              </m:acc>
              <m:r>
                <w:rPr>
                  <w:rFonts w:ascii="Cambria Math" w:hAnsi="Cambria Math"/>
                </w:rPr>
                <m:t xml:space="preserve">,</m:t>
              </m:r>
              <m:acc>
                <m:accPr>
                  <m:chr m:val="^"/>
                </m:accPr>
                <m:e>
                  <m:sSub>
                    <m:e>
                      <m:r>
                        <w:rPr>
                          <w:rFonts w:ascii="Cambria Math" w:hAnsi="Cambria Math"/>
                        </w:rPr>
                        <m:t xml:space="preserve">y</m:t>
                      </m:r>
                    </m:e>
                    <m:sub>
                      <m:r>
                        <w:rPr>
                          <w:rFonts w:ascii="Cambria Math" w:hAnsi="Cambria Math"/>
                        </w:rPr>
                        <m:t xml:space="preserve">i</m:t>
                      </m:r>
                    </m:sub>
                  </m:sSub>
                </m:e>
              </m:acc>
            </m:oMath>
            <w:r>
              <w:rPr>
                <w:rFonts w:eastAsia="Times New Roman" w:cs="Times New Roman"/>
                <w:i/>
                <w:kern w:val="0"/>
                <w:sz w:val="28"/>
                <w:szCs w:val="28"/>
                <w:lang w:val="ru-RU" w:eastAsia="ru-RU" w:bidi="ar-SA"/>
              </w:rPr>
              <w:t xml:space="preserve"> </w:t>
            </w:r>
            <w:r>
              <w:rPr>
                <w:rFonts w:eastAsia="Times New Roman" w:cs="Times New Roman"/>
                <w:iCs/>
                <w:kern w:val="0"/>
                <w:sz w:val="28"/>
                <w:szCs w:val="28"/>
                <w:lang w:val="ru-RU" w:eastAsia="ru-RU" w:bidi="ar-SA"/>
              </w:rPr>
              <w:t xml:space="preserve">– </w:t>
            </w:r>
            <w:r>
              <w:rPr>
                <w:rFonts w:eastAsia="Times New Roman" w:cs="Times New Roman"/>
                <w:iCs/>
                <w:kern w:val="0"/>
                <w:sz w:val="28"/>
                <w:szCs w:val="28"/>
                <w:lang w:val="ru-RU" w:eastAsia="ru-RU" w:bidi="ar-SA"/>
              </w:rPr>
              <w:t>координаты, оцененные системой</w:t>
            </w:r>
          </w:p>
        </w:tc>
        <w:tc>
          <w:tcPr>
            <w:tcW w:w="557" w:type="dxa"/>
            <w:tcBorders/>
          </w:tcPr>
          <w:p>
            <w:pPr>
              <w:pStyle w:val="Normal"/>
              <w:widowControl/>
              <w:suppressAutoHyphens w:val="true"/>
              <w:spacing w:lineRule="auto" w:line="360" w:before="0" w:after="0"/>
              <w:ind w:hanging="0"/>
              <w:jc w:val="both"/>
              <w:rPr>
                <w:lang w:val="ru-RU"/>
              </w:rPr>
            </w:pPr>
            <w:r>
              <w:rPr>
                <w:lang w:val="ru-RU"/>
              </w:rPr>
            </w:r>
          </w:p>
        </w:tc>
      </w:tr>
    </w:tbl>
    <w:p>
      <w:pPr>
        <w:pStyle w:val="Normal"/>
        <w:ind w:hanging="0"/>
        <w:rPr/>
      </w:pPr>
      <w:r>
        <w:rPr/>
        <w:tab/>
        <w:t>Следует отметить, что точность локализации в системах WIDS/WIPS носит вспомогательный характер и используется преимущественно для уточнения положения обнаруженных источников и повышения удобства реагирования. В ряде практических сценариев первостепенное значение имеет сам факт обнаружения аномального устройства, тогда как требования к точности координат могут быть менее строгими.</w:t>
      </w:r>
    </w:p>
    <w:p>
      <w:pPr>
        <w:pStyle w:val="Normal"/>
        <w:ind w:hanging="0"/>
        <w:rPr/>
      </w:pPr>
      <w:r>
        <w:rPr/>
        <w:tab/>
        <w:t>2.4.4 Обобщение метрик эффективности</w:t>
      </w:r>
    </w:p>
    <w:p>
      <w:pPr>
        <w:pStyle w:val="Normal"/>
        <w:ind w:hanging="0"/>
        <w:rPr/>
      </w:pPr>
      <w:r>
        <w:rPr/>
        <w:tab/>
        <w:t>Рассмотренные группы метрик позволяют сформировать комплексное представление об эффективности систем обнаружения источников излучения. Метрики классификации характеризуют корректность идентификации событий, временные показатели отражают скорость реакции системы, а пространственные метрики дополняют анализ возможностями локализации источников.</w:t>
      </w:r>
    </w:p>
    <w:p>
      <w:pPr>
        <w:pStyle w:val="Normal"/>
        <w:ind w:hanging="0"/>
        <w:rPr/>
      </w:pPr>
      <w:r>
        <w:rPr/>
        <w:tab/>
        <w:t>Эффективность WIDS/WIPS определяется не отдельным показателем, а совокупностью взаимосвязанных характеристик, между которыми существует компромисс. Повышение полноты обнаружения может сопровождаться ростом числа ложных срабатываний, тогда как снижение времени реакции часто достигается за счёт уменьшения объёма анализируемых данных и, как следствие, потенциального снижения точности.</w:t>
      </w:r>
    </w:p>
    <w:p>
      <w:pPr>
        <w:pStyle w:val="Normal"/>
        <w:ind w:hanging="0"/>
        <w:rPr/>
      </w:pPr>
      <w:r>
        <w:rPr/>
        <w:tab/>
        <w:t>В практических условиях выбор целевых значений метрик определяется требованиями конкретной организации, особенностями инфраструктуры и допустимым уровнем риска. Для кредитно-финансовых организаций приоритет, как правило, отдаётся надёжности обнаружения и минимизации пропущенных угроз, даже при увеличении нагрузки на оператора.</w:t>
      </w:r>
    </w:p>
    <w:p>
      <w:pPr>
        <w:pStyle w:val="Normal"/>
        <w:ind w:hanging="0"/>
        <w:rPr/>
      </w:pPr>
      <w:r>
        <w:rPr/>
      </w:r>
    </w:p>
    <w:p>
      <w:pPr>
        <w:pStyle w:val="Normal"/>
        <w:ind w:hanging="0"/>
        <w:rPr/>
      </w:pPr>
      <w:r>
        <w:rPr/>
        <w:tab/>
        <w:t>Таким образом, применение системы метрик позволяет формализовать оценку качества работы WIDS/WIPS и создать основу для последующего анализа, направленного на оптимизацию параметров обнаружения и повышение устойчивости системы к ошибкам в условиях реальной радиочастотной среды.</w:t>
      </w:r>
    </w:p>
    <w:p>
      <w:pPr>
        <w:pStyle w:val="Heading2"/>
        <w:rPr/>
      </w:pPr>
      <w:r>
        <w:rPr>
          <w:lang w:val="ru-RU"/>
        </w:rPr>
        <w:t>2.5 Постановка задачи разработки мультимодальной модели и формулировка требований к ПАК</w:t>
      </w:r>
    </w:p>
    <w:p>
      <w:pPr>
        <w:pStyle w:val="Normal"/>
        <w:rPr/>
      </w:pPr>
      <w:r>
        <w:rPr>
          <w:lang w:val="ru-RU"/>
        </w:rPr>
        <w:t>В рамках проведённого анализа установлено, что существующие решения класса WIDS/WIPS обеспечивают высокий уровень контроля радиочастотной среды, однако характеризуются значительной стоимостью, сложностью развертывания и зависимостью от специализированной инфраструктуры. В условиях кредитно-финансовых организаций возникает задача разработки альтернативного подхода, ориентированного на снижение затрат и упрощение внедрения при сохранении приемлемого уровня обнаружения угроз.</w:t>
      </w:r>
    </w:p>
    <w:p>
      <w:pPr>
        <w:pStyle w:val="Normal"/>
        <w:rPr/>
      </w:pPr>
      <w:r>
        <w:rPr>
          <w:lang w:val="ru-RU"/>
        </w:rPr>
        <w:t>Целью работы является формирование мультимодальной модели обнаружения незарегистрированных Wi-Fi источников, основанной на объединении разнородных признаков радиочастотной среды. В рамках модели предполагается использование совокупности методов, включающих анализ сетевых идентификаторов (SSID, BSSID, MAC-адресов), статистических характеристик активности устройств, а также параметров физического уровня, таких как уровень сигнала, характеристики радиоканала (CSI) и уровень шумов. Такое объединение позволяет повысить устойчивость обнаружения, в том числе в условиях спуфинга идентификаторов и наличия атак типа «evil twin», а также расширить возможности выявления аномалий, связанных с воздействием на радиочастотную среду.</w:t>
      </w:r>
    </w:p>
    <w:p>
      <w:pPr>
        <w:pStyle w:val="Normal"/>
        <w:rPr/>
      </w:pPr>
      <w:r>
        <w:rPr>
          <w:lang w:val="ru-RU"/>
        </w:rPr>
        <w:t>Модель предполагает распределённый пассивный мониторинг радиосреды с использованием множества сенсорных узлов и последующую агрегацию наблюдений. Наблюдение носит вероятностный характер вследствие необходимости периодического сканирования каналов и ограниченности аппаратных ресурсов сенсорных устройств, что компенсируется за счёт совместного анализа данных, поступающих от нескольких узлов. Обработка информации может осуществляться централизованно либо с распределением вычислительной нагрузки, что обеспечивает масштабируемость и адаптацию к условиям конкретной инфраструктуры.</w:t>
      </w:r>
    </w:p>
    <w:p>
      <w:pPr>
        <w:pStyle w:val="Normal"/>
        <w:rPr/>
      </w:pPr>
      <w:r>
        <w:rPr>
          <w:lang w:val="ru-RU"/>
        </w:rPr>
        <w:t>Ключевые требования к модели включают обеспечение низкой стоимости развертывания за счёт использования доступных аппаратных компонентов и отсутствия необходимости модификации существующей сети, поддержку полностью пассивного режима работы без вмешательства в процессы передачи данных, а также функционирование в квазиреальном времени. Существенным требованием является обеспечение наблюдаемости радиосреды: система должна предоставлять оператору структурированное представление событий, поддерживать анализ динамики активности и формировать рекомендации, направленные на поиск источников излучения. При этом точное определение координат не является обязательной задачей, а локализация рассматривается как вспомогательный механизм, позволяющий сузить область поиска оператором.</w:t>
      </w:r>
    </w:p>
    <w:p>
      <w:pPr>
        <w:pStyle w:val="Normal"/>
        <w:rPr/>
      </w:pPr>
      <w:r>
        <w:rPr>
          <w:lang w:val="ru-RU"/>
        </w:rPr>
        <w:t>Следует отметить, что практическая реализация модели может включать упрощения, обусловленные ограничениями аппаратной платформы, включая использование периодической агрегации данных и пакетной передачи наблюдений. Тем не менее такие ограничения не противоречат общей концепции модели и отражают компромисс между полнотой наблюдения, стоимостью и сложностью системы.</w:t>
      </w:r>
    </w:p>
    <w:p>
      <w:pPr>
        <w:pStyle w:val="Normal"/>
        <w:rPr/>
      </w:pPr>
      <w:r>
        <w:rPr>
          <w:lang w:val="ru-RU"/>
        </w:rPr>
        <w:t>Таким образом, сформулированная мультимодальная модель определяет принципы построения систем радиомониторинга, ориентированных на доступность, масштабируемость и поддержку оператора при анализе радиосреды. На её основе в следующей главе рассматриваются вопросы разработки алгоритма обнаружения, реализации программно-аппаратного комплекса, а также оценки его практической и экономической эффективности.</w:t>
      </w:r>
    </w:p>
    <w:p>
      <w:pPr>
        <w:pStyle w:val="Normal"/>
        <w:rPr/>
      </w:pPr>
      <w:r>
        <w:rPr/>
      </w:r>
      <w:r>
        <w:br w:type="page"/>
      </w:r>
    </w:p>
    <w:p>
      <w:pPr>
        <w:pStyle w:val="Heading1"/>
        <w:spacing w:before="0" w:after="0"/>
        <w:rPr>
          <w:lang w:val="ru-RU"/>
        </w:rPr>
      </w:pPr>
      <w:bookmarkStart w:id="47" w:name="_Toc225707611"/>
      <w:r>
        <w:rPr>
          <w:lang w:val="ru-RU"/>
        </w:rPr>
        <w:t xml:space="preserve">ГЛАВА 3. РАЗРАБОТКА И АПРОБАЦИЯ МУЛЬТИМОДАЛЬНОЙ МОДЕЛИ ОБНАРУЖЕНИЯ НЕЗАРЕГИСТРИРОВАННЫХ </w:t>
      </w:r>
      <w:r>
        <w:rPr>
          <w:lang w:val="en-US"/>
        </w:rPr>
        <w:t>WIFI</w:t>
      </w:r>
      <w:r>
        <w:rPr>
          <w:lang w:val="ru-RU"/>
        </w:rPr>
        <w:t xml:space="preserve"> ТОЧЕК ДОСТУПА</w:t>
      </w:r>
      <w:bookmarkEnd w:id="47"/>
    </w:p>
    <w:p>
      <w:pPr>
        <w:pStyle w:val="Heading2"/>
        <w:rPr/>
      </w:pPr>
      <w:bookmarkStart w:id="48" w:name="_Toc225707612"/>
      <w:r>
        <w:rPr/>
        <w:t>3.1. Разработка алгоритма обнаружения источников излучения.</w:t>
      </w:r>
      <w:bookmarkEnd w:id="48"/>
    </w:p>
    <w:p>
      <w:pPr>
        <w:pStyle w:val="Heading2"/>
        <w:rPr/>
      </w:pPr>
      <w:bookmarkStart w:id="49" w:name="_Toc225707613"/>
      <w:r>
        <w:rPr/>
        <w:t>3.2. Разработка и реализация программно-аппаратного комплекса.</w:t>
      </w:r>
      <w:bookmarkEnd w:id="49"/>
    </w:p>
    <w:p>
      <w:pPr>
        <w:pStyle w:val="Heading2"/>
        <w:rPr/>
      </w:pPr>
      <w:bookmarkStart w:id="50" w:name="_Toc225707614"/>
      <w:r>
        <w:rPr/>
        <w:t>3.3. Практические рекомендации и направления совершенствования.</w:t>
      </w:r>
      <w:bookmarkEnd w:id="50"/>
    </w:p>
    <w:p>
      <w:pPr>
        <w:pStyle w:val="Heading2"/>
        <w:rPr/>
      </w:pPr>
      <w:bookmarkStart w:id="51" w:name="_Toc225707615"/>
      <w:r>
        <w:rPr/>
        <w:t>3.4. Экономическая и практическая эффективность.</w:t>
      </w:r>
      <w:bookmarkEnd w:id="51"/>
    </w:p>
    <w:p>
      <w:pPr>
        <w:pStyle w:val="Normal"/>
        <w:rPr/>
      </w:pPr>
      <w:r>
        <w:rPr/>
      </w:r>
      <w:r>
        <w:br w:type="page"/>
      </w:r>
    </w:p>
    <w:p>
      <w:pPr>
        <w:pStyle w:val="Heading1"/>
        <w:spacing w:before="0" w:after="0"/>
        <w:ind w:hanging="0"/>
        <w:jc w:val="center"/>
        <w:rPr>
          <w:lang w:val="ru-RU"/>
        </w:rPr>
      </w:pPr>
      <w:bookmarkStart w:id="52" w:name="_Toc225707616"/>
      <w:r>
        <w:rPr>
          <w:lang w:val="ru-RU"/>
        </w:rPr>
        <w:t>Библиографический список</w:t>
      </w:r>
      <w:bookmarkEnd w:id="52"/>
    </w:p>
    <w:p>
      <w:pPr>
        <w:pStyle w:val="Normal"/>
        <w:numPr>
          <w:ilvl w:val="0"/>
          <w:numId w:val="9"/>
        </w:numPr>
        <w:ind w:firstLine="709" w:left="0"/>
        <w:rPr>
          <w:lang w:val="en-US"/>
        </w:rPr>
      </w:pPr>
      <w:r>
        <w:rPr>
          <w:lang w:val="en-US"/>
        </w:rPr>
        <w:t>IEEE Std 802.11-2020. IEEE Standard for Information Technology — Telecommunications and information exchange between systems — Local and metropolitan area networks — Specific requirements — Part 11: Wireless LAN Medium Access Control (MAC) and Physical Layer (PHY) Specifications. — New York : IEEE, 2020. — URL: https://standards.ieee.org (дата обращения: 06.11.2025).</w:t>
      </w:r>
    </w:p>
    <w:p>
      <w:pPr>
        <w:pStyle w:val="Normal"/>
        <w:numPr>
          <w:ilvl w:val="0"/>
          <w:numId w:val="9"/>
        </w:numPr>
        <w:ind w:firstLine="709" w:left="0"/>
        <w:rPr/>
      </w:pPr>
      <w:r>
        <w:rPr/>
        <w:t>Бородко А.В. Технологии локального позиционирования IIoT–устройств // Информационные технологии и телекоммуникации. – 2021. – Т. 9, № 2. – С. 21–29. [Электронный ресурс]. – Режим доступа: https://www.sut.ru/doci/nauka/1AEA/ITT/2021_2/21–29.pdf – (дата обращения: 22.2.2026).</w:t>
      </w:r>
    </w:p>
    <w:p>
      <w:pPr>
        <w:pStyle w:val="Normal"/>
        <w:numPr>
          <w:ilvl w:val="0"/>
          <w:numId w:val="9"/>
        </w:numPr>
        <w:ind w:firstLine="709" w:left="0"/>
        <w:rPr/>
      </w:pPr>
      <w:r>
        <w:rPr/>
        <w:t>Щекотов М.С. Анализ подходов к позиционированию внутри помещений с использованием трилатерации сигналов Wi–Fi // Труды СПИИРАН. – 2014. – Вып. 5(36).. [Электронный ресурс]. – Режим доступа: https://ia.spcras.ru/index.php/sp/article/view/3034 – (дата обращения: 21.2.2026).</w:t>
      </w:r>
    </w:p>
    <w:p>
      <w:pPr>
        <w:pStyle w:val="Normal"/>
        <w:numPr>
          <w:ilvl w:val="0"/>
          <w:numId w:val="9"/>
        </w:numPr>
        <w:ind w:firstLine="708" w:left="0"/>
        <w:rPr/>
      </w:pPr>
      <w:r>
        <w:rPr/>
        <w:t>Роженко А.И. Сравнение радиальных базисных функций (РБФ-сплайнов) / А.И. Роженко. – Новосибирск : Институт вычислительной математики СО РАН, 2018. – Сиб. журн. вычисл. математики. Т. 21, № 3, с. 273-292.</w:t>
      </w:r>
    </w:p>
    <w:p>
      <w:pPr>
        <w:pStyle w:val="Normal"/>
        <w:numPr>
          <w:ilvl w:val="0"/>
          <w:numId w:val="9"/>
        </w:numPr>
        <w:ind w:firstLine="708" w:left="0"/>
        <w:rPr/>
      </w:pPr>
      <w:r>
        <w:rPr/>
        <w:t xml:space="preserve">WIDS/WIPS-SW Элтекс (контроллер SoftWLC) — сервис обнаружения и предотвращения вторжений в беспроводную сеть // </w:t>
      </w:r>
      <w:r>
        <w:rPr>
          <w:rStyle w:val="whitespace-normal"/>
        </w:rPr>
        <w:t>Eltex</w:t>
      </w:r>
      <w:r>
        <w:rPr/>
        <w:t xml:space="preserve"> Solutions. — URL: https://eltexsl.ru/product/wids-wips-sw/ (дата обращения: 0</w:t>
      </w:r>
      <w:r>
        <w:rPr>
          <w:lang w:val="ru-RU"/>
        </w:rPr>
        <w:t>2</w:t>
      </w:r>
      <w:r>
        <w:rPr/>
        <w:t>.</w:t>
      </w:r>
      <w:r>
        <w:rPr>
          <w:lang w:val="ru-RU"/>
        </w:rPr>
        <w:t>12</w:t>
      </w:r>
      <w:r>
        <w:rPr/>
        <w:t>.202</w:t>
      </w:r>
      <w:r>
        <w:rPr>
          <w:lang w:val="ru-RU"/>
        </w:rPr>
        <w:t>5</w:t>
      </w:r>
      <w:r>
        <w:rPr/>
        <w:t>).</w:t>
      </w:r>
    </w:p>
    <w:p>
      <w:pPr>
        <w:pStyle w:val="Normal"/>
        <w:numPr>
          <w:ilvl w:val="0"/>
          <w:numId w:val="9"/>
        </w:numPr>
        <w:ind w:firstLine="708" w:left="0"/>
        <w:rPr/>
      </w:pPr>
      <w:r>
        <w:rPr>
          <w:lang w:val="en-US"/>
        </w:rPr>
        <w:t xml:space="preserve">Shankar V., Wright G. Mesh-free Semi-Lagrangian Methods for Transport on a Sphere Using Radial Basis Functions / V. Shankar, G. Wright. – 2018. – J. Comput. </w:t>
      </w:r>
      <w:r>
        <w:rPr/>
        <w:t>Phys, [Электронный ресурс] –  Режим доступа:</w:t>
      </w:r>
      <w:hyperlink r:id="rId2">
        <w:r>
          <w:rPr>
            <w:rStyle w:val="ListLabel145"/>
          </w:rPr>
          <w:t xml:space="preserve"> </w:t>
        </w:r>
      </w:hyperlink>
      <w:r>
        <w:rPr/>
        <w:t>https://arxiv.org/abs/1804.01609 – (Дата обращения – 18.10.2025).</w:t>
      </w:r>
    </w:p>
    <w:p>
      <w:pPr>
        <w:pStyle w:val="Normal"/>
        <w:numPr>
          <w:ilvl w:val="0"/>
          <w:numId w:val="9"/>
        </w:numPr>
        <w:ind w:firstLine="709" w:left="0"/>
        <w:rPr/>
      </w:pPr>
      <w:r>
        <w:rPr/>
        <w:t>Цзоу Цзяньчжун. Анализ возможности позиционирования при использовании сигналов беспроводных локальных сетей Wi–Fi : выпускная квалификационная работа. — Санкт–Петербург : Санкт–Петербургский политехнический университет Петра Великого, 2021.</w:t>
      </w:r>
    </w:p>
    <w:p>
      <w:pPr>
        <w:pStyle w:val="ListParagraph"/>
        <w:numPr>
          <w:ilvl w:val="0"/>
          <w:numId w:val="9"/>
        </w:numPr>
        <w:ind w:firstLine="709" w:left="0"/>
        <w:rPr>
          <w:lang w:val="en-US"/>
        </w:rPr>
      </w:pPr>
      <w:r>
        <w:rPr>
          <w:lang w:val="en-US"/>
        </w:rPr>
        <w:t>Maduranga M. W. P., Tilwari V., Abeysekera R. Improved–RSSI–based indoor localization by using pseudo–linear solution with machine learning algorithms // Journal of Electrical Systems and Information Technology. — 2024. — Vol. 11. — Article 10. — URL: https://doi.org/10.1186/s43067–024–00138–0</w:t>
      </w:r>
    </w:p>
    <w:p>
      <w:pPr>
        <w:pStyle w:val="Normal"/>
        <w:ind w:firstLine="709"/>
        <w:rPr>
          <w:lang w:val="en-US"/>
        </w:rPr>
      </w:pPr>
      <w:r>
        <w:rPr>
          <w:lang w:val="en-US"/>
        </w:rPr>
        <w:t xml:space="preserve"> </w:t>
      </w:r>
      <w:r>
        <w:rPr>
          <w:lang w:val="en-US"/>
        </w:rPr>
        <w:t>(дата обращения: 0</w:t>
      </w:r>
      <w:r>
        <w:rPr/>
        <w:t>1</w:t>
      </w:r>
      <w:r>
        <w:rPr>
          <w:lang w:val="en-US"/>
        </w:rPr>
        <w:t>.03.2026).</w:t>
      </w:r>
    </w:p>
    <w:p>
      <w:pPr>
        <w:pStyle w:val="ListParagraph"/>
        <w:numPr>
          <w:ilvl w:val="0"/>
          <w:numId w:val="9"/>
        </w:numPr>
        <w:ind w:firstLine="709" w:left="0"/>
        <w:rPr>
          <w:lang w:val="en-US"/>
        </w:rPr>
      </w:pPr>
      <w:r>
        <w:rPr>
          <w:lang w:val="en-US"/>
        </w:rPr>
        <w:t>Dahiya M., Gill S. Detection of Rogue Access Point in WLAN using Hopfield Neural Network // International Journal of Electrical and Computer Engineering. — 2017. — Vol. 7, No. 2. — P. 1060–1070. — DOI: 10.11591/ijece.v7i2.pp1060–1070.</w:t>
      </w:r>
    </w:p>
    <w:p>
      <w:pPr>
        <w:pStyle w:val="ListParagraph"/>
        <w:numPr>
          <w:ilvl w:val="0"/>
          <w:numId w:val="9"/>
        </w:numPr>
        <w:ind w:firstLine="709" w:left="0"/>
        <w:rPr>
          <w:lang w:val="en-US"/>
        </w:rPr>
      </w:pPr>
      <w:r>
        <w:rPr>
          <w:lang w:val="en-US"/>
        </w:rPr>
        <w:t>Gorjan H. E., Gil Jiménez V. P. Improving Indoor WiFi Localization by Using Machine Learning Techniques // Sensors. — 2024. — Vol. 24, No. 19. — Article 6293. — DOI: 10.3390/s24196293.</w:t>
      </w:r>
    </w:p>
    <w:p>
      <w:pPr>
        <w:pStyle w:val="ListParagraph"/>
        <w:numPr>
          <w:ilvl w:val="0"/>
          <w:numId w:val="9"/>
        </w:numPr>
        <w:ind w:firstLine="709" w:left="0"/>
        <w:rPr>
          <w:lang w:val="en-US"/>
        </w:rPr>
      </w:pPr>
      <w:r>
        <w:rPr>
          <w:lang w:val="en-US"/>
        </w:rPr>
        <w:t>Venkataraman A., Beyah R. Rogue Access Point Detection Using Innate Characteristics of the 802.11 MAC // SecureComm. — Berlin : Springer, 2012. — DOI: 10.1007/978–3–642–05284–2_23.</w:t>
      </w:r>
    </w:p>
    <w:p>
      <w:pPr>
        <w:pStyle w:val="Normal"/>
        <w:ind w:hanging="0"/>
        <w:rPr>
          <w:lang w:val="en-US"/>
        </w:rPr>
      </w:pPr>
      <w:r>
        <w:rPr>
          <w:lang w:val="en-US"/>
        </w:rPr>
      </w:r>
    </w:p>
    <w:p>
      <w:pPr>
        <w:pStyle w:val="Heading2"/>
        <w:ind w:hanging="0"/>
        <w:rPr>
          <w:lang w:val="en-US"/>
        </w:rPr>
      </w:pPr>
      <w:bookmarkStart w:id="53" w:name="_ifd80t13ort0"/>
      <w:bookmarkStart w:id="54" w:name="_cuf29yvm7yan"/>
      <w:bookmarkStart w:id="55" w:name="_mjzvxqpzono9"/>
      <w:bookmarkStart w:id="56" w:name="_1wdkpl2at4v1"/>
      <w:bookmarkEnd w:id="53"/>
      <w:bookmarkEnd w:id="54"/>
      <w:bookmarkEnd w:id="55"/>
      <w:bookmarkEnd w:id="56"/>
      <w:r>
        <w:rPr>
          <w:lang w:val="en-US"/>
        </w:rPr>
        <w:br/>
      </w:r>
    </w:p>
    <w:sectPr>
      <w:type w:val="nextPage"/>
      <w:pgSz w:w="11906" w:h="16838"/>
      <w:pgMar w:left="1700" w:right="577"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Arial">
    <w:charset w:val="01"/>
    <w:family w:val="roman"/>
    <w:pitch w:val="variable"/>
  </w:font>
  <w:font w:name="Calibri">
    <w:charset w:val="01"/>
    <w:family w:val="roman"/>
    <w:pitch w:val="variable"/>
    <w:embedRegular r:id="rId10" w:fontKey="{0A014A78-CABC-4EF0-12AC-5CD89AEFDE0A}"/>
  </w:font>
  <w:font w:name="Cambria">
    <w:charset w:val="01"/>
    <w:family w:val="roman"/>
    <w:pitch w:val="variable"/>
    <w:embedRegular r:id="rId11" w:fontKey="{0B014A78-CABC-4EF0-12AC-5CD89AEFDE0B}"/>
  </w:font>
  <w:font w:name="Symbol">
    <w:charset w:val="02"/>
    <w:family w:val="auto"/>
    <w:pitch w:val="default"/>
  </w:font>
  <w:font w:name="Wingdings 2">
    <w:charset w:val="02"/>
    <w:family w:val="auto"/>
    <w:pitch w:val="default"/>
  </w:font>
  <w:font w:name="OpenSymbol">
    <w:altName w:val="Arial Unicode MS"/>
    <w:charset w:val="01"/>
    <w:family w:val="auto"/>
    <w:pitch w:val="variable"/>
    <w:embedRegular r:id="rId12" w:fontKey="{0C014A78-CABC-4EF0-12AC-5CD89AEFDE0C}"/>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
    <w:lvl w:ilvl="0">
      <w:start w:val="1"/>
      <w:numFmt w:val="decimal"/>
      <w:lvlText w:val="%1."/>
      <w:lvlJc w:val="left"/>
      <w:pPr>
        <w:tabs>
          <w:tab w:val="num" w:pos="0"/>
        </w:tabs>
        <w:ind w:left="1440" w:hanging="360"/>
      </w:pPr>
      <w:rPr>
        <w:u w:val="none"/>
      </w:rPr>
    </w:lvl>
    <w:lvl w:ilvl="1">
      <w:start w:val="1"/>
      <w:numFmt w:val="lowerLetter"/>
      <w:lvlText w:val="%2."/>
      <w:lvlJc w:val="left"/>
      <w:pPr>
        <w:tabs>
          <w:tab w:val="num" w:pos="0"/>
        </w:tabs>
        <w:ind w:left="2160" w:hanging="360"/>
      </w:pPr>
      <w:rPr>
        <w:u w:val="none"/>
      </w:rPr>
    </w:lvl>
    <w:lvl w:ilvl="2">
      <w:start w:val="1"/>
      <w:numFmt w:val="lowerRoman"/>
      <w:lvlText w:val="%3."/>
      <w:lvlJc w:val="right"/>
      <w:pPr>
        <w:tabs>
          <w:tab w:val="num" w:pos="0"/>
        </w:tabs>
        <w:ind w:left="2880" w:hanging="360"/>
      </w:pPr>
      <w:rPr>
        <w:u w:val="none"/>
      </w:rPr>
    </w:lvl>
    <w:lvl w:ilvl="3">
      <w:start w:val="1"/>
      <w:numFmt w:val="decimal"/>
      <w:lvlText w:val="%4."/>
      <w:lvlJc w:val="left"/>
      <w:pPr>
        <w:tabs>
          <w:tab w:val="num" w:pos="0"/>
        </w:tabs>
        <w:ind w:left="3600" w:hanging="360"/>
      </w:pPr>
      <w:rPr>
        <w:u w:val="none"/>
      </w:rPr>
    </w:lvl>
    <w:lvl w:ilvl="4">
      <w:start w:val="1"/>
      <w:numFmt w:val="lowerLetter"/>
      <w:lvlText w:val="%5."/>
      <w:lvlJc w:val="left"/>
      <w:pPr>
        <w:tabs>
          <w:tab w:val="num" w:pos="0"/>
        </w:tabs>
        <w:ind w:left="4320" w:hanging="360"/>
      </w:pPr>
      <w:rPr>
        <w:u w:val="none"/>
      </w:rPr>
    </w:lvl>
    <w:lvl w:ilvl="5">
      <w:start w:val="1"/>
      <w:numFmt w:val="lowerRoman"/>
      <w:lvlText w:val="%6."/>
      <w:lvlJc w:val="right"/>
      <w:pPr>
        <w:tabs>
          <w:tab w:val="num" w:pos="0"/>
        </w:tabs>
        <w:ind w:left="5040" w:hanging="360"/>
      </w:pPr>
      <w:rPr>
        <w:u w:val="none"/>
      </w:rPr>
    </w:lvl>
    <w:lvl w:ilvl="6">
      <w:start w:val="1"/>
      <w:numFmt w:val="decimal"/>
      <w:lvlText w:val="%7."/>
      <w:lvlJc w:val="left"/>
      <w:pPr>
        <w:tabs>
          <w:tab w:val="num" w:pos="0"/>
        </w:tabs>
        <w:ind w:left="5760" w:hanging="360"/>
      </w:pPr>
      <w:rPr>
        <w:u w:val="none"/>
      </w:rPr>
    </w:lvl>
    <w:lvl w:ilvl="7">
      <w:start w:val="1"/>
      <w:numFmt w:val="lowerLetter"/>
      <w:lvlText w:val="%8."/>
      <w:lvlJc w:val="left"/>
      <w:pPr>
        <w:tabs>
          <w:tab w:val="num" w:pos="0"/>
        </w:tabs>
        <w:ind w:left="6480" w:hanging="360"/>
      </w:pPr>
      <w:rPr>
        <w:u w:val="none"/>
      </w:rPr>
    </w:lvl>
    <w:lvl w:ilvl="8">
      <w:start w:val="1"/>
      <w:numFmt w:val="lowerRoman"/>
      <w:lvlText w:val="%9."/>
      <w:lvlJc w:val="right"/>
      <w:pPr>
        <w:tabs>
          <w:tab w:val="num" w:pos="0"/>
        </w:tabs>
        <w:ind w:left="7200" w:hanging="360"/>
      </w:pPr>
      <w:rPr>
        <w:u w:val="none"/>
      </w:rPr>
    </w:lvl>
  </w:abstractNum>
  <w:abstractNum w:abstractNumId="5">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8">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9">
    <w:lvl w:ilvl="0">
      <w:start w:val="1"/>
      <w:numFmt w:val="decimal"/>
      <w:lvlText w:val="%1."/>
      <w:lvlJc w:val="left"/>
      <w:pPr>
        <w:tabs>
          <w:tab w:val="num" w:pos="0"/>
        </w:tabs>
        <w:ind w:left="1778" w:hanging="360"/>
      </w:pPr>
      <w:rPr>
        <w:u w:val="none"/>
      </w:rPr>
    </w:lvl>
    <w:lvl w:ilvl="1">
      <w:start w:val="1"/>
      <w:numFmt w:val="lowerLetter"/>
      <w:lvlText w:val="%2."/>
      <w:lvlJc w:val="left"/>
      <w:pPr>
        <w:tabs>
          <w:tab w:val="num" w:pos="0"/>
        </w:tabs>
        <w:ind w:left="2498" w:hanging="360"/>
      </w:pPr>
      <w:rPr>
        <w:u w:val="none"/>
      </w:rPr>
    </w:lvl>
    <w:lvl w:ilvl="2">
      <w:start w:val="1"/>
      <w:numFmt w:val="lowerRoman"/>
      <w:lvlText w:val="%3."/>
      <w:lvlJc w:val="right"/>
      <w:pPr>
        <w:tabs>
          <w:tab w:val="num" w:pos="0"/>
        </w:tabs>
        <w:ind w:left="3218" w:hanging="360"/>
      </w:pPr>
      <w:rPr>
        <w:u w:val="none"/>
      </w:rPr>
    </w:lvl>
    <w:lvl w:ilvl="3">
      <w:start w:val="1"/>
      <w:numFmt w:val="decimal"/>
      <w:lvlText w:val="%4."/>
      <w:lvlJc w:val="left"/>
      <w:pPr>
        <w:tabs>
          <w:tab w:val="num" w:pos="0"/>
        </w:tabs>
        <w:ind w:left="3938" w:hanging="360"/>
      </w:pPr>
      <w:rPr>
        <w:u w:val="none"/>
      </w:rPr>
    </w:lvl>
    <w:lvl w:ilvl="4">
      <w:start w:val="1"/>
      <w:numFmt w:val="lowerLetter"/>
      <w:lvlText w:val="%5."/>
      <w:lvlJc w:val="left"/>
      <w:pPr>
        <w:tabs>
          <w:tab w:val="num" w:pos="0"/>
        </w:tabs>
        <w:ind w:left="4658" w:hanging="360"/>
      </w:pPr>
      <w:rPr>
        <w:u w:val="none"/>
      </w:rPr>
    </w:lvl>
    <w:lvl w:ilvl="5">
      <w:start w:val="1"/>
      <w:numFmt w:val="lowerRoman"/>
      <w:lvlText w:val="%6."/>
      <w:lvlJc w:val="right"/>
      <w:pPr>
        <w:tabs>
          <w:tab w:val="num" w:pos="0"/>
        </w:tabs>
        <w:ind w:left="5378" w:hanging="360"/>
      </w:pPr>
      <w:rPr>
        <w:u w:val="none"/>
      </w:rPr>
    </w:lvl>
    <w:lvl w:ilvl="6">
      <w:start w:val="1"/>
      <w:numFmt w:val="decimal"/>
      <w:lvlText w:val="%7."/>
      <w:lvlJc w:val="left"/>
      <w:pPr>
        <w:tabs>
          <w:tab w:val="num" w:pos="0"/>
        </w:tabs>
        <w:ind w:left="6098" w:hanging="360"/>
      </w:pPr>
      <w:rPr>
        <w:u w:val="none"/>
      </w:rPr>
    </w:lvl>
    <w:lvl w:ilvl="7">
      <w:start w:val="1"/>
      <w:numFmt w:val="lowerLetter"/>
      <w:lvlText w:val="%8."/>
      <w:lvlJc w:val="left"/>
      <w:pPr>
        <w:tabs>
          <w:tab w:val="num" w:pos="0"/>
        </w:tabs>
        <w:ind w:left="6818" w:hanging="360"/>
      </w:pPr>
      <w:rPr>
        <w:u w:val="none"/>
      </w:rPr>
    </w:lvl>
    <w:lvl w:ilvl="8">
      <w:start w:val="1"/>
      <w:numFmt w:val="lowerRoman"/>
      <w:lvlText w:val="%9."/>
      <w:lvlJc w:val="right"/>
      <w:pPr>
        <w:tabs>
          <w:tab w:val="num" w:pos="0"/>
        </w:tabs>
        <w:ind w:left="7538" w:hanging="360"/>
      </w:pPr>
      <w:rPr>
        <w:u w:val="none"/>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46"/>
  <w:embedTrueTypeFonts/>
  <w:defaultTabStop w:val="709"/>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ru-RU" w:eastAsia="ru-R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60" w:before="0" w:after="0"/>
      <w:ind w:firstLine="708"/>
      <w:jc w:val="both"/>
    </w:pPr>
    <w:rPr>
      <w:rFonts w:ascii="Times New Roman" w:hAnsi="Times New Roman" w:eastAsia="Times New Roman" w:cs="Times New Roman"/>
      <w:color w:val="auto"/>
      <w:kern w:val="0"/>
      <w:sz w:val="28"/>
      <w:szCs w:val="28"/>
      <w:lang w:val="ru-RU" w:eastAsia="ru-RU" w:bidi="ar-SA"/>
    </w:rPr>
  </w:style>
  <w:style w:type="paragraph" w:styleId="Heading1">
    <w:name w:val="Heading 1"/>
    <w:basedOn w:val="Normal"/>
    <w:next w:val="Normal"/>
    <w:uiPriority w:val="9"/>
    <w:qFormat/>
    <w:pPr>
      <w:keepNext w:val="true"/>
      <w:keepLines/>
      <w:outlineLvl w:val="0"/>
    </w:pPr>
    <w:rPr/>
  </w:style>
  <w:style w:type="paragraph" w:styleId="Heading2">
    <w:name w:val="Heading 2"/>
    <w:basedOn w:val="Normal"/>
    <w:next w:val="Normal"/>
    <w:uiPriority w:val="9"/>
    <w:unhideWhenUsed/>
    <w:qFormat/>
    <w:pPr>
      <w:keepNext w:val="true"/>
      <w:keepLines/>
      <w:outlineLvl w:val="1"/>
    </w:pPr>
    <w:rPr/>
  </w:style>
  <w:style w:type="paragraph" w:styleId="Heading3">
    <w:name w:val="Heading 3"/>
    <w:basedOn w:val="Normal"/>
    <w:next w:val="Normal"/>
    <w:uiPriority w:val="9"/>
    <w:unhideWhenUsed/>
    <w:qFormat/>
    <w:pPr>
      <w:keepNext w:val="true"/>
      <w:keepLines/>
      <w:outlineLvl w:val="2"/>
    </w:pPr>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val="true"/>
      <w:keepLines/>
      <w:spacing w:before="240" w:after="80"/>
      <w:outlineLvl w:val="5"/>
    </w:pPr>
    <w:rPr>
      <w:i/>
      <w:iCs/>
      <w:color w:val="666666"/>
      <w:sz w:val="22"/>
      <w:szCs w:val="22"/>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fa694a"/>
    <w:rPr>
      <w:color w:val="808080"/>
    </w:rPr>
  </w:style>
  <w:style w:type="character" w:styleId="Hyperlink">
    <w:name w:val="Hyperlink"/>
    <w:basedOn w:val="DefaultParagraphFont"/>
    <w:uiPriority w:val="99"/>
    <w:unhideWhenUsed/>
    <w:rsid w:val="00be6d5c"/>
    <w:rPr>
      <w:color w:themeColor="hyperlink" w:val="0000FF"/>
      <w:u w:val="single"/>
    </w:rPr>
  </w:style>
  <w:style w:type="character" w:styleId="UnresolvedMention">
    <w:name w:val="Unresolved Mention"/>
    <w:basedOn w:val="DefaultParagraphFont"/>
    <w:uiPriority w:val="99"/>
    <w:semiHidden/>
    <w:unhideWhenUsed/>
    <w:qFormat/>
    <w:rsid w:val="008725d4"/>
    <w:rPr>
      <w:color w:val="605E5C"/>
      <w:shd w:fill="E1DFDD" w:val="clear"/>
    </w:rPr>
  </w:style>
  <w:style w:type="character" w:styleId="whitespace-normal" w:customStyle="1">
    <w:name w:val="whitespace-normal"/>
    <w:basedOn w:val="DefaultParagraphFont"/>
    <w:qFormat/>
    <w:rsid w:val="00e20f42"/>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rFonts w:ascii="Arial" w:hAnsi="Arial" w:eastAsia="Arial" w:cs="Arial"/>
      <w:color w:val="666666"/>
      <w:sz w:val="30"/>
      <w:szCs w:val="30"/>
    </w:rPr>
  </w:style>
  <w:style w:type="paragraph" w:styleId="IndexHeading">
    <w:name w:val="Index Heading"/>
    <w:basedOn w:val="Heading"/>
    <w:pPr/>
    <w:rPr/>
  </w:style>
  <w:style w:type="paragraph" w:styleId="TOCHeading">
    <w:name w:val="TOC Heading"/>
    <w:basedOn w:val="Heading1"/>
    <w:next w:val="Normal"/>
    <w:uiPriority w:val="39"/>
    <w:unhideWhenUsed/>
    <w:qFormat/>
    <w:rsid w:val="00be6d5c"/>
    <w:pPr>
      <w:spacing w:lineRule="auto" w:line="259" w:before="240" w:after="0"/>
      <w:ind w:hanging="0"/>
      <w:jc w:val="left"/>
      <w:outlineLvl w:val="9"/>
    </w:pPr>
    <w:rPr>
      <w:rFonts w:ascii="Calibri" w:hAnsi="Calibri" w:eastAsia="" w:cs="" w:asciiTheme="majorHAnsi" w:cstheme="majorBidi" w:eastAsiaTheme="majorEastAsia" w:hAnsiTheme="majorHAnsi"/>
      <w:color w:themeColor="accent1" w:themeShade="bf" w:val="365F91"/>
      <w:sz w:val="32"/>
      <w:szCs w:val="32"/>
      <w:lang w:val="ru-RU"/>
    </w:rPr>
  </w:style>
  <w:style w:type="paragraph" w:styleId="TOC1">
    <w:name w:val="TOC 1"/>
    <w:basedOn w:val="Normal"/>
    <w:next w:val="Normal"/>
    <w:autoRedefine/>
    <w:uiPriority w:val="39"/>
    <w:unhideWhenUsed/>
    <w:rsid w:val="00be6d5c"/>
    <w:pPr>
      <w:spacing w:before="0" w:after="100"/>
    </w:pPr>
    <w:rPr/>
  </w:style>
  <w:style w:type="paragraph" w:styleId="TOC2">
    <w:name w:val="TOC 2"/>
    <w:basedOn w:val="Normal"/>
    <w:next w:val="Normal"/>
    <w:autoRedefine/>
    <w:uiPriority w:val="39"/>
    <w:unhideWhenUsed/>
    <w:rsid w:val="00be6d5c"/>
    <w:pPr>
      <w:spacing w:before="0" w:after="100"/>
      <w:ind w:left="280"/>
    </w:pPr>
    <w:rPr/>
  </w:style>
  <w:style w:type="paragraph" w:styleId="TOC3">
    <w:name w:val="TOC 3"/>
    <w:basedOn w:val="Normal"/>
    <w:next w:val="Normal"/>
    <w:autoRedefine/>
    <w:uiPriority w:val="39"/>
    <w:unhideWhenUsed/>
    <w:rsid w:val="00be6d5c"/>
    <w:pPr>
      <w:spacing w:before="0" w:after="100"/>
      <w:ind w:left="560"/>
    </w:pPr>
    <w:rPr/>
  </w:style>
  <w:style w:type="paragraph" w:styleId="ListParagraph">
    <w:name w:val="List Paragraph"/>
    <w:basedOn w:val="Normal"/>
    <w:uiPriority w:val="34"/>
    <w:qFormat/>
    <w:rsid w:val="00092180"/>
    <w:pPr>
      <w:spacing w:before="0" w:after="0"/>
      <w:ind w:firstLine="709" w:left="720"/>
      <w:contextualSpacing/>
    </w:pPr>
    <w:rPr>
      <w:rFonts w:eastAsia="Cambria" w:eastAsiaTheme="minorHAnsi"/>
      <w:color w:themeColor="text1" w:val="000000"/>
      <w:lang w:val="ru-RU" w:eastAsia="en-U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a7">
    <w:name w:val="Table Grid"/>
    <w:basedOn w:val="a1"/>
    <w:uiPriority w:val="39"/>
    <w:rsid w:val="00dd504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b">
    <w:name w:val="Grid Table Light"/>
    <w:basedOn w:val="a1"/>
    <w:uiPriority w:val="40"/>
    <w:rsid w:val="00092180"/>
    <w:pPr>
      <w:spacing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xiv.org/abs/1804.01609?utm_source=chatgpt.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3E65C-38F5-427B-B7B7-EC54DDA96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578</TotalTime>
  <Application>LibreOffice/24.2.7.2$Linux_X86_64 LibreOffice_project/420$Build-2</Application>
  <AppVersion>15.0000</AppVersion>
  <Pages>51</Pages>
  <Words>8955</Words>
  <Characters>69012</Characters>
  <CharactersWithSpaces>77633</CharactersWithSpaces>
  <Paragraphs>341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2026-03-04T18:54:00Z</dcterms:created>
  <dc:creator/>
  <dc:description/>
  <dc:language>en-US</dc:language>
  <cp:lastModifiedBy/>
  <dcterms:modified xsi:type="dcterms:W3CDTF">2026-04-18T23:32:11Z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