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F8586" w14:textId="77777777" w:rsidR="00962342" w:rsidRDefault="00000000">
      <w:pPr>
        <w:spacing w:after="40"/>
        <w:jc w:val="center"/>
      </w:pPr>
      <w:r>
        <w:rPr>
          <w:rFonts w:ascii="Arial" w:hAnsi="Arial"/>
        </w:rPr>
        <w:t>Pimpri Chinchwad Education Trust’s</w:t>
      </w:r>
    </w:p>
    <w:p w14:paraId="43C23B66" w14:textId="77777777" w:rsidR="00962342" w:rsidRDefault="00000000">
      <w:pPr>
        <w:spacing w:after="40"/>
        <w:jc w:val="center"/>
      </w:pPr>
      <w:r>
        <w:rPr>
          <w:rFonts w:ascii="Arial" w:hAnsi="Arial"/>
          <w:b/>
          <w:sz w:val="27"/>
        </w:rPr>
        <w:t>Pimpri Chinchwad College of Engineering (PCCoE)</w:t>
      </w:r>
    </w:p>
    <w:p w14:paraId="0D6D8A1B" w14:textId="77777777" w:rsidR="00962342" w:rsidRDefault="00000000">
      <w:pPr>
        <w:spacing w:after="20"/>
        <w:jc w:val="center"/>
      </w:pPr>
      <w:r>
        <w:rPr>
          <w:rFonts w:ascii="Arial" w:hAnsi="Arial"/>
          <w:sz w:val="20"/>
        </w:rPr>
        <w:t>Sector No. 26, Pradhikaran Nigdi, Pune – 411 044</w:t>
      </w:r>
    </w:p>
    <w:p w14:paraId="3E57DD50" w14:textId="77777777" w:rsidR="00962342" w:rsidRDefault="00000000">
      <w:pPr>
        <w:spacing w:after="20"/>
        <w:jc w:val="center"/>
      </w:pPr>
      <w:r>
        <w:rPr>
          <w:rFonts w:ascii="Arial" w:hAnsi="Arial"/>
          <w:sz w:val="20"/>
        </w:rPr>
        <w:t>An Autonomous Institute</w:t>
      </w:r>
    </w:p>
    <w:p w14:paraId="4BD2260C" w14:textId="77777777" w:rsidR="00962342" w:rsidRDefault="00000000">
      <w:pPr>
        <w:spacing w:after="360"/>
        <w:jc w:val="center"/>
      </w:pPr>
      <w:r>
        <w:rPr>
          <w:rFonts w:ascii="Arial" w:hAnsi="Arial"/>
          <w:sz w:val="20"/>
        </w:rPr>
        <w:t>Affiliated to Savitribai Phule Pune University (SPPU)</w:t>
      </w:r>
    </w:p>
    <w:p w14:paraId="580A67FC" w14:textId="77777777" w:rsidR="00962342" w:rsidRDefault="00000000">
      <w:pPr>
        <w:spacing w:after="320"/>
        <w:jc w:val="center"/>
      </w:pPr>
      <w:r>
        <w:rPr>
          <w:rFonts w:ascii="Arial" w:hAnsi="Arial"/>
          <w:b/>
          <w:sz w:val="24"/>
        </w:rPr>
        <w:t>DEPARTMENT OF INFORMATION TECHNOLOGY</w:t>
      </w:r>
    </w:p>
    <w:p w14:paraId="22440F48" w14:textId="77777777" w:rsidR="00962342" w:rsidRDefault="00000000">
      <w:pPr>
        <w:spacing w:after="480"/>
        <w:jc w:val="center"/>
      </w:pPr>
      <w:r>
        <w:rPr>
          <w:rFonts w:ascii="Arial" w:hAnsi="Arial"/>
          <w:b/>
          <w:sz w:val="26"/>
        </w:rPr>
        <w:t>2026-27</w:t>
      </w:r>
    </w:p>
    <w:p w14:paraId="280B03BE" w14:textId="77777777" w:rsidR="00962342" w:rsidRDefault="00000000">
      <w:pPr>
        <w:spacing w:after="560"/>
        <w:jc w:val="center"/>
      </w:pPr>
      <w:r>
        <w:rPr>
          <w:noProof/>
        </w:rPr>
        <w:drawing>
          <wp:inline distT="0" distB="0" distL="0" distR="0" wp14:anchorId="1D6C19A6" wp14:editId="5720B4B1">
            <wp:extent cx="1645920" cy="13974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coe_logo.png"/>
                    <pic:cNvPicPr/>
                  </pic:nvPicPr>
                  <pic:blipFill>
                    <a:blip r:embed="rId8"/>
                    <a:stretch>
                      <a:fillRect/>
                    </a:stretch>
                  </pic:blipFill>
                  <pic:spPr>
                    <a:xfrm>
                      <a:off x="0" y="0"/>
                      <a:ext cx="1645920" cy="1397429"/>
                    </a:xfrm>
                    <a:prstGeom prst="rect">
                      <a:avLst/>
                    </a:prstGeom>
                  </pic:spPr>
                </pic:pic>
              </a:graphicData>
            </a:graphic>
          </wp:inline>
        </w:drawing>
      </w:r>
    </w:p>
    <w:p w14:paraId="499B478C" w14:textId="77777777" w:rsidR="00962342" w:rsidRDefault="00000000">
      <w:pPr>
        <w:spacing w:after="80"/>
        <w:jc w:val="center"/>
      </w:pPr>
      <w:r>
        <w:rPr>
          <w:rFonts w:ascii="Arial" w:hAnsi="Arial"/>
          <w:sz w:val="24"/>
        </w:rPr>
        <w:t>A Project Report</w:t>
      </w:r>
    </w:p>
    <w:p w14:paraId="65149030" w14:textId="77777777" w:rsidR="00962342" w:rsidRDefault="00000000">
      <w:pPr>
        <w:spacing w:after="280"/>
        <w:jc w:val="center"/>
      </w:pPr>
      <w:r>
        <w:rPr>
          <w:rFonts w:ascii="Arial" w:hAnsi="Arial"/>
          <w:sz w:val="24"/>
        </w:rPr>
        <w:t>On</w:t>
      </w:r>
    </w:p>
    <w:p w14:paraId="60EC6278" w14:textId="77777777" w:rsidR="00962342" w:rsidRDefault="00000000">
      <w:pPr>
        <w:spacing w:after="640"/>
        <w:jc w:val="center"/>
      </w:pPr>
      <w:r>
        <w:rPr>
          <w:rFonts w:ascii="Arial" w:hAnsi="Arial"/>
          <w:b/>
          <w:sz w:val="29"/>
        </w:rPr>
        <w:t>ANALYSIS OF AIR POLLUTION PATTERNS AND HOTSPOTS ACROSS INDIA USING APACHE SPARK</w:t>
      </w:r>
    </w:p>
    <w:p w14:paraId="678A780C" w14:textId="77777777" w:rsidR="00962342" w:rsidRDefault="00000000">
      <w:pPr>
        <w:spacing w:after="320"/>
        <w:jc w:val="center"/>
      </w:pPr>
      <w:r>
        <w:rPr>
          <w:rFonts w:ascii="Arial" w:hAnsi="Arial"/>
          <w:b/>
          <w:sz w:val="24"/>
        </w:rPr>
        <w:t>By</w:t>
      </w:r>
    </w:p>
    <w:p w14:paraId="462C5820" w14:textId="77777777" w:rsidR="00962342" w:rsidRDefault="00000000">
      <w:pPr>
        <w:spacing w:after="60"/>
        <w:jc w:val="center"/>
      </w:pPr>
      <w:r>
        <w:rPr>
          <w:rFonts w:ascii="Arial" w:hAnsi="Arial"/>
          <w:sz w:val="23"/>
        </w:rPr>
        <w:t>Arpita Patki (123B1F001)</w:t>
      </w:r>
    </w:p>
    <w:p w14:paraId="2E3D8F74" w14:textId="77777777" w:rsidR="00962342" w:rsidRDefault="00000000">
      <w:pPr>
        <w:spacing w:after="60"/>
        <w:jc w:val="center"/>
      </w:pPr>
      <w:r>
        <w:rPr>
          <w:rFonts w:ascii="Arial" w:hAnsi="Arial"/>
          <w:sz w:val="23"/>
        </w:rPr>
        <w:t>Chaitanya Deore (132B1F020)</w:t>
      </w:r>
    </w:p>
    <w:p w14:paraId="62CFB0C0" w14:textId="262D93EF" w:rsidR="00962342" w:rsidRDefault="00000000" w:rsidP="005C6B15">
      <w:pPr>
        <w:jc w:val="center"/>
      </w:pPr>
      <w:r>
        <w:rPr>
          <w:rFonts w:ascii="Arial" w:hAnsi="Arial"/>
          <w:sz w:val="23"/>
        </w:rPr>
        <w:t>Varad Deshmukh (123B1F022)</w:t>
      </w:r>
    </w:p>
    <w:p w14:paraId="54BCB102" w14:textId="77777777" w:rsidR="00962342" w:rsidRDefault="00000000">
      <w:pPr>
        <w:spacing w:after="0"/>
        <w:jc w:val="center"/>
      </w:pPr>
      <w:r>
        <w:rPr>
          <w:rFonts w:ascii="Arial" w:hAnsi="Arial"/>
          <w:b/>
          <w:sz w:val="24"/>
        </w:rPr>
        <w:t>Guided by: Dr. Jaya Dewan</w:t>
      </w:r>
    </w:p>
    <w:p w14:paraId="65DF6BD9" w14:textId="77777777" w:rsidR="00962342" w:rsidRDefault="00000000">
      <w:r>
        <w:br w:type="page"/>
      </w:r>
    </w:p>
    <w:p w14:paraId="473940AB" w14:textId="77777777" w:rsidR="00962342" w:rsidRDefault="00000000">
      <w:pPr>
        <w:keepNext/>
        <w:spacing w:before="240" w:after="80"/>
      </w:pPr>
      <w:r>
        <w:rPr>
          <w:rFonts w:ascii="Arial" w:hAnsi="Arial"/>
          <w:b/>
          <w:sz w:val="24"/>
        </w:rPr>
        <w:lastRenderedPageBreak/>
        <w:t>Objective :</w:t>
      </w:r>
    </w:p>
    <w:p w14:paraId="7A72BBFB" w14:textId="77777777" w:rsidR="00962342" w:rsidRDefault="00000000">
      <w:pPr>
        <w:spacing w:after="100"/>
      </w:pPr>
      <w:r>
        <w:rPr>
          <w:rFonts w:ascii="Arial" w:hAnsi="Arial"/>
          <w:sz w:val="19"/>
        </w:rPr>
        <w:t>To design and implement a Big Data Analytics application that processes 46,937,170 rows of nationwide hourly air-quality observations from the XKDR Forum India Air Quality Database with Apache Spark (PySpark), and to generate actionable insights about pollution dynamics: identifying persistent monitoring station hotspots, diurnal exposure patterns, seasonal shifts driven by monsoon wet scavenging, inter-pollutant Pearson correlations, and short-term PM2.5 forecasting feasibility. The results are presented in an interactive Streamlit dashboard.</w:t>
      </w:r>
    </w:p>
    <w:p w14:paraId="1EA2808D" w14:textId="77777777" w:rsidR="00962342" w:rsidRDefault="00000000">
      <w:pPr>
        <w:keepNext/>
        <w:spacing w:before="240" w:after="80"/>
      </w:pPr>
      <w:r>
        <w:rPr>
          <w:rFonts w:ascii="Arial" w:hAnsi="Arial"/>
          <w:b/>
          <w:sz w:val="24"/>
        </w:rPr>
        <w:t>Introduction :</w:t>
      </w:r>
    </w:p>
    <w:p w14:paraId="5B2A5825" w14:textId="77777777" w:rsidR="00962342" w:rsidRDefault="00000000">
      <w:pPr>
        <w:spacing w:after="100"/>
      </w:pPr>
      <w:r>
        <w:rPr>
          <w:rFonts w:ascii="Arial" w:hAnsi="Arial"/>
          <w:sz w:val="19"/>
        </w:rPr>
        <w:t>Every hour, the Central Pollution Control Board (CPCB) continuous ambient air monitoring network logs atmospheric concentrations of particulate matters (PM2.5, PM10) and trace gases (NO2, SO2, CO, O3) across hundreds of stations. The XKDR Forum aggregates and standardizes these telemetry feeds. A full calendar year contains nearly 47 million rows, making it far too large for spreadsheet tools (Excel caps at 1,048,576 rows) and causing Out-of-Memory crashes in plain single-core Pandas.</w:t>
      </w:r>
    </w:p>
    <w:p w14:paraId="028462C1" w14:textId="77777777" w:rsidR="00962342" w:rsidRDefault="00000000">
      <w:pPr>
        <w:spacing w:after="100"/>
      </w:pPr>
      <w:r>
        <w:rPr>
          <w:rFonts w:ascii="Arial" w:hAnsi="Arial"/>
          <w:sz w:val="19"/>
        </w:rPr>
        <w:t>This project treats ambient air quality telemetry as a Big Data problem. We ingest monthly bulk Parquet files, use Spark DataFrames to clean and validate sensor readings in parallel across all CPU cores, save the cleaned dataset as Hive-partitioned Parquet (obs_month=1..12), and execute Spark SQL queries to evaluate diurnal rhythms, seasonal swings, and multi-criteria station hotspot rankings. The analytical results are stored as compact tables and served through an interactive Streamlit dashboard.</w:t>
      </w:r>
    </w:p>
    <w:p w14:paraId="2BCD3B64" w14:textId="77777777" w:rsidR="00962342" w:rsidRDefault="00000000">
      <w:pPr>
        <w:keepNext/>
        <w:spacing w:before="240" w:after="80"/>
      </w:pPr>
      <w:r>
        <w:rPr>
          <w:rFonts w:ascii="Arial" w:hAnsi="Arial"/>
          <w:b/>
          <w:sz w:val="24"/>
        </w:rPr>
        <w:t>Why this is Big Data (5 Vs) :</w:t>
      </w:r>
    </w:p>
    <w:tbl>
      <w:tblPr>
        <w:tblW w:w="0" w:type="auto"/>
        <w:jc w:val="center"/>
        <w:tblLayout w:type="fixed"/>
        <w:tblLook w:val="04A0" w:firstRow="1" w:lastRow="0" w:firstColumn="1" w:lastColumn="0" w:noHBand="0" w:noVBand="1"/>
      </w:tblPr>
      <w:tblGrid>
        <w:gridCol w:w="5040"/>
        <w:gridCol w:w="5040"/>
      </w:tblGrid>
      <w:tr w:rsidR="00962342" w14:paraId="643C50B6" w14:textId="77777777">
        <w:trPr>
          <w:jc w:val="center"/>
        </w:trPr>
        <w:tc>
          <w:tcPr>
            <w:tcW w:w="5040" w:type="dxa"/>
            <w:shd w:val="clear" w:color="auto" w:fill="1B2631"/>
          </w:tcPr>
          <w:p w14:paraId="7B6C246C" w14:textId="77777777" w:rsidR="00962342" w:rsidRDefault="00000000" w:rsidP="00A30FA2">
            <w:pPr>
              <w:jc w:val="center"/>
            </w:pPr>
            <w:r>
              <w:rPr>
                <w:rFonts w:ascii="Arial" w:hAnsi="Arial"/>
                <w:b/>
                <w:color w:val="FFFFFF"/>
                <w:sz w:val="17"/>
              </w:rPr>
              <w:t>V</w:t>
            </w:r>
          </w:p>
        </w:tc>
        <w:tc>
          <w:tcPr>
            <w:tcW w:w="5040" w:type="dxa"/>
            <w:shd w:val="clear" w:color="auto" w:fill="1B2631"/>
          </w:tcPr>
          <w:p w14:paraId="7EBE43CF" w14:textId="77777777" w:rsidR="00962342" w:rsidRDefault="00000000" w:rsidP="00A30FA2">
            <w:pPr>
              <w:jc w:val="center"/>
            </w:pPr>
            <w:r>
              <w:rPr>
                <w:rFonts w:ascii="Arial" w:hAnsi="Arial"/>
                <w:b/>
                <w:color w:val="FFFFFF"/>
                <w:sz w:val="17"/>
              </w:rPr>
              <w:t>How it applies to this dataset</w:t>
            </w:r>
          </w:p>
        </w:tc>
      </w:tr>
      <w:tr w:rsidR="00962342" w14:paraId="5C360C05" w14:textId="77777777">
        <w:trPr>
          <w:jc w:val="center"/>
        </w:trPr>
        <w:tc>
          <w:tcPr>
            <w:tcW w:w="5040" w:type="dxa"/>
            <w:shd w:val="clear" w:color="auto" w:fill="FFFFFF"/>
          </w:tcPr>
          <w:p w14:paraId="78F14156" w14:textId="77777777" w:rsidR="00962342" w:rsidRDefault="00000000">
            <w:pPr>
              <w:spacing w:before="40" w:after="40"/>
            </w:pPr>
            <w:r>
              <w:rPr>
                <w:rFonts w:ascii="Arial" w:hAnsi="Arial"/>
                <w:b/>
                <w:sz w:val="16"/>
              </w:rPr>
              <w:t>Volume</w:t>
            </w:r>
          </w:p>
        </w:tc>
        <w:tc>
          <w:tcPr>
            <w:tcW w:w="5040" w:type="dxa"/>
            <w:shd w:val="clear" w:color="auto" w:fill="FFFFFF"/>
          </w:tcPr>
          <w:p w14:paraId="5A647DAC" w14:textId="77777777" w:rsidR="00962342" w:rsidRDefault="00000000">
            <w:pPr>
              <w:spacing w:before="40" w:after="40"/>
            </w:pPr>
            <w:r>
              <w:rPr>
                <w:rFonts w:ascii="Arial" w:hAnsi="Arial"/>
                <w:sz w:val="16"/>
              </w:rPr>
              <w:t>46,937,170 rows (84.28 MB Snappy-compressed Parquet, &gt;2.5 GB uncompressed CSV) across 12 months for 558 stations.</w:t>
            </w:r>
          </w:p>
        </w:tc>
      </w:tr>
      <w:tr w:rsidR="00962342" w14:paraId="64A88985" w14:textId="77777777">
        <w:trPr>
          <w:jc w:val="center"/>
        </w:trPr>
        <w:tc>
          <w:tcPr>
            <w:tcW w:w="5040" w:type="dxa"/>
            <w:shd w:val="clear" w:color="auto" w:fill="F8F9F9"/>
          </w:tcPr>
          <w:p w14:paraId="2078022C" w14:textId="77777777" w:rsidR="00962342" w:rsidRDefault="00000000">
            <w:pPr>
              <w:spacing w:before="40" w:after="40"/>
            </w:pPr>
            <w:r>
              <w:rPr>
                <w:rFonts w:ascii="Arial" w:hAnsi="Arial"/>
                <w:b/>
                <w:sz w:val="16"/>
              </w:rPr>
              <w:t>Velocity</w:t>
            </w:r>
          </w:p>
        </w:tc>
        <w:tc>
          <w:tcPr>
            <w:tcW w:w="5040" w:type="dxa"/>
            <w:shd w:val="clear" w:color="auto" w:fill="F8F9F9"/>
          </w:tcPr>
          <w:p w14:paraId="36F80A1B" w14:textId="77777777" w:rsidR="00962342" w:rsidRDefault="00000000">
            <w:pPr>
              <w:spacing w:before="40" w:after="40"/>
            </w:pPr>
            <w:r>
              <w:rPr>
                <w:rFonts w:ascii="Arial" w:hAnsi="Arial"/>
                <w:sz w:val="16"/>
              </w:rPr>
              <w:t>A continuous stream of telemetry published every hour, 24×7, from 558 automated monitoring stations nationwide.</w:t>
            </w:r>
          </w:p>
        </w:tc>
      </w:tr>
      <w:tr w:rsidR="00962342" w14:paraId="5FB766E9" w14:textId="77777777">
        <w:trPr>
          <w:jc w:val="center"/>
        </w:trPr>
        <w:tc>
          <w:tcPr>
            <w:tcW w:w="5040" w:type="dxa"/>
            <w:shd w:val="clear" w:color="auto" w:fill="FFFFFF"/>
          </w:tcPr>
          <w:p w14:paraId="30B099BF" w14:textId="77777777" w:rsidR="00962342" w:rsidRDefault="00000000">
            <w:pPr>
              <w:spacing w:before="40" w:after="40"/>
            </w:pPr>
            <w:r>
              <w:rPr>
                <w:rFonts w:ascii="Arial" w:hAnsi="Arial"/>
                <w:b/>
                <w:sz w:val="16"/>
              </w:rPr>
              <w:t>Variety</w:t>
            </w:r>
          </w:p>
        </w:tc>
        <w:tc>
          <w:tcPr>
            <w:tcW w:w="5040" w:type="dxa"/>
            <w:shd w:val="clear" w:color="auto" w:fill="FFFFFF"/>
          </w:tcPr>
          <w:p w14:paraId="0206F37B" w14:textId="77777777" w:rsidR="00962342" w:rsidRDefault="00000000">
            <w:pPr>
              <w:spacing w:before="40" w:after="40"/>
            </w:pPr>
            <w:r>
              <w:rPr>
                <w:rFonts w:ascii="Arial" w:hAnsi="Arial"/>
                <w:sz w:val="16"/>
              </w:rPr>
              <w:t>15 atmospheric pollutants (PM2.5, PM10, NO2, SO2, CO, O3, NH3) and weather metrics with varied units and spatial coordinates.</w:t>
            </w:r>
          </w:p>
        </w:tc>
      </w:tr>
      <w:tr w:rsidR="00962342" w14:paraId="3836639E" w14:textId="77777777">
        <w:trPr>
          <w:jc w:val="center"/>
        </w:trPr>
        <w:tc>
          <w:tcPr>
            <w:tcW w:w="5040" w:type="dxa"/>
            <w:shd w:val="clear" w:color="auto" w:fill="F8F9F9"/>
          </w:tcPr>
          <w:p w14:paraId="19F3DF73" w14:textId="77777777" w:rsidR="00962342" w:rsidRDefault="00000000">
            <w:pPr>
              <w:spacing w:before="40" w:after="40"/>
            </w:pPr>
            <w:r>
              <w:rPr>
                <w:rFonts w:ascii="Arial" w:hAnsi="Arial"/>
                <w:b/>
                <w:sz w:val="16"/>
              </w:rPr>
              <w:t>Veracity</w:t>
            </w:r>
          </w:p>
        </w:tc>
        <w:tc>
          <w:tcPr>
            <w:tcW w:w="5040" w:type="dxa"/>
            <w:shd w:val="clear" w:color="auto" w:fill="F8F9F9"/>
          </w:tcPr>
          <w:p w14:paraId="3BD01159" w14:textId="77777777" w:rsidR="00962342" w:rsidRDefault="00000000">
            <w:pPr>
              <w:spacing w:before="40" w:after="40"/>
            </w:pPr>
            <w:r>
              <w:rPr>
                <w:rFonts w:ascii="Arial" w:hAnsi="Arial"/>
                <w:sz w:val="16"/>
              </w:rPr>
              <w:t>Noisy telemetry with zero drift, negative values, and spurious electrical spikes (&gt;10,000). 100.00% physical validity retention.</w:t>
            </w:r>
          </w:p>
        </w:tc>
      </w:tr>
      <w:tr w:rsidR="00962342" w14:paraId="5EEE5EE5" w14:textId="77777777">
        <w:trPr>
          <w:jc w:val="center"/>
        </w:trPr>
        <w:tc>
          <w:tcPr>
            <w:tcW w:w="5040" w:type="dxa"/>
            <w:shd w:val="clear" w:color="auto" w:fill="FFFFFF"/>
          </w:tcPr>
          <w:p w14:paraId="19986789" w14:textId="77777777" w:rsidR="00962342" w:rsidRDefault="00000000">
            <w:pPr>
              <w:spacing w:before="40" w:after="40"/>
            </w:pPr>
            <w:r>
              <w:rPr>
                <w:rFonts w:ascii="Arial" w:hAnsi="Arial"/>
                <w:b/>
                <w:sz w:val="16"/>
              </w:rPr>
              <w:t>Value</w:t>
            </w:r>
          </w:p>
        </w:tc>
        <w:tc>
          <w:tcPr>
            <w:tcW w:w="5040" w:type="dxa"/>
            <w:shd w:val="clear" w:color="auto" w:fill="FFFFFF"/>
          </w:tcPr>
          <w:p w14:paraId="06C8C306" w14:textId="77777777" w:rsidR="00962342" w:rsidRDefault="00000000">
            <w:pPr>
              <w:spacing w:before="40" w:after="40"/>
            </w:pPr>
            <w:r>
              <w:rPr>
                <w:rFonts w:ascii="Arial" w:hAnsi="Arial"/>
                <w:sz w:val="16"/>
              </w:rPr>
              <w:t>Identifies high-risk Indo-Gangetic Plain hotspots, evaluates NAAQS non-attainment frequency, and guides seasonal mitigation.</w:t>
            </w:r>
          </w:p>
        </w:tc>
      </w:tr>
    </w:tbl>
    <w:p w14:paraId="79BB6D5A" w14:textId="77777777" w:rsidR="00962342" w:rsidRDefault="00000000">
      <w:pPr>
        <w:keepNext/>
        <w:spacing w:before="240" w:after="80"/>
      </w:pPr>
      <w:r>
        <w:rPr>
          <w:rFonts w:ascii="Arial" w:hAnsi="Arial"/>
          <w:b/>
          <w:sz w:val="24"/>
        </w:rPr>
        <w:t>Dataset :</w:t>
      </w:r>
    </w:p>
    <w:p w14:paraId="265F00B2" w14:textId="77777777" w:rsidR="00962342" w:rsidRDefault="00000000">
      <w:pPr>
        <w:spacing w:after="100"/>
      </w:pPr>
      <w:r>
        <w:rPr>
          <w:rFonts w:ascii="Arial" w:hAnsi="Arial"/>
          <w:sz w:val="19"/>
        </w:rPr>
        <w:t>Source: XKDR Forum India Air Quality Database (airquality.xkdr.org), compiling CPCB CAAQMN observations.</w:t>
      </w:r>
      <w:r>
        <w:rPr>
          <w:rFonts w:ascii="Arial" w:hAnsi="Arial"/>
          <w:sz w:val="19"/>
        </w:rPr>
        <w:br/>
        <w:t>Period: 1 January – 31 December 2024, 12 monthly Parquet files (UTC/IST).</w:t>
      </w:r>
    </w:p>
    <w:p w14:paraId="25AA6ED4" w14:textId="77777777" w:rsidR="00962342" w:rsidRDefault="00000000">
      <w:pPr>
        <w:spacing w:after="100"/>
      </w:pPr>
      <w:r>
        <w:rPr>
          <w:rFonts w:ascii="Arial" w:hAnsi="Arial"/>
          <w:sz w:val="19"/>
        </w:rPr>
        <w:t>Format: space-delimited / tabular schema per observation:</w:t>
      </w:r>
    </w:p>
    <w:p w14:paraId="166A7D68" w14:textId="77777777" w:rsidR="00962342" w:rsidRDefault="00000000">
      <w:pPr>
        <w:pBdr>
          <w:left w:val="single" w:sz="12" w:space="4" w:color="0288D1"/>
        </w:pBdr>
        <w:shd w:val="clear" w:color="auto" w:fill="F5F5F5"/>
        <w:spacing w:before="80" w:after="80"/>
      </w:pPr>
      <w:r>
        <w:rPr>
          <w:rFonts w:ascii="Consolas" w:hAnsi="Consolas"/>
          <w:color w:val="1E1E1E"/>
          <w:sz w:val="16"/>
        </w:rPr>
        <w:t>DL001  2024-11-15 08:00:00  pm25  148.5</w:t>
      </w:r>
      <w:r>
        <w:rPr>
          <w:rFonts w:ascii="Consolas" w:hAnsi="Consolas"/>
          <w:color w:val="1E1E1E"/>
          <w:sz w:val="16"/>
        </w:rPr>
        <w:br/>
        <w:t xml:space="preserve"> │            │             │      └ observed pollutant value</w:t>
      </w:r>
      <w:r>
        <w:rPr>
          <w:rFonts w:ascii="Consolas" w:hAnsi="Consolas"/>
          <w:color w:val="1E1E1E"/>
          <w:sz w:val="16"/>
        </w:rPr>
        <w:br/>
        <w:t xml:space="preserve"> │            │             └ measured atmospheric parameter</w:t>
      </w:r>
      <w:r>
        <w:rPr>
          <w:rFonts w:ascii="Consolas" w:hAnsi="Consolas"/>
          <w:color w:val="1E1E1E"/>
          <w:sz w:val="16"/>
        </w:rPr>
        <w:br/>
        <w:t xml:space="preserve"> │            └ sensor sampling timestamp (UTC / IST)</w:t>
      </w:r>
      <w:r>
        <w:rPr>
          <w:rFonts w:ascii="Consolas" w:hAnsi="Consolas"/>
          <w:color w:val="1E1E1E"/>
          <w:sz w:val="16"/>
        </w:rPr>
        <w:br/>
        <w:t xml:space="preserve"> └ unique CPCB monitoring station identifier</w:t>
      </w:r>
    </w:p>
    <w:p w14:paraId="0E59AFB6" w14:textId="77777777" w:rsidR="00962342" w:rsidRDefault="00000000">
      <w:pPr>
        <w:spacing w:after="100"/>
      </w:pPr>
      <w:r>
        <w:rPr>
          <w:rFonts w:ascii="Arial" w:hAnsi="Arial"/>
          <w:sz w:val="19"/>
        </w:rPr>
        <w:t>The observation timestamp is parsed into hour, day, and month attributes, allowing Spark to extract temporal features and partition the analytical dataset by month.</w:t>
      </w:r>
    </w:p>
    <w:tbl>
      <w:tblPr>
        <w:tblW w:w="0" w:type="auto"/>
        <w:jc w:val="center"/>
        <w:tblLook w:val="04A0" w:firstRow="1" w:lastRow="0" w:firstColumn="1" w:lastColumn="0" w:noHBand="0" w:noVBand="1"/>
      </w:tblPr>
      <w:tblGrid>
        <w:gridCol w:w="5040"/>
        <w:gridCol w:w="5040"/>
      </w:tblGrid>
      <w:tr w:rsidR="00962342" w14:paraId="45749FFF" w14:textId="77777777">
        <w:trPr>
          <w:jc w:val="center"/>
        </w:trPr>
        <w:tc>
          <w:tcPr>
            <w:tcW w:w="5040" w:type="dxa"/>
            <w:shd w:val="clear" w:color="auto" w:fill="1B2631"/>
          </w:tcPr>
          <w:p w14:paraId="21B6A40C" w14:textId="77777777" w:rsidR="00962342" w:rsidRDefault="00000000" w:rsidP="00A30FA2">
            <w:pPr>
              <w:jc w:val="center"/>
            </w:pPr>
            <w:r>
              <w:rPr>
                <w:rFonts w:ascii="Arial" w:hAnsi="Arial"/>
                <w:b/>
                <w:color w:val="FFFFFF"/>
                <w:sz w:val="17"/>
              </w:rPr>
              <w:t>Metric</w:t>
            </w:r>
          </w:p>
        </w:tc>
        <w:tc>
          <w:tcPr>
            <w:tcW w:w="5040" w:type="dxa"/>
            <w:shd w:val="clear" w:color="auto" w:fill="1B2631"/>
          </w:tcPr>
          <w:p w14:paraId="76C02C69" w14:textId="77777777" w:rsidR="00962342" w:rsidRDefault="00000000" w:rsidP="00A30FA2">
            <w:pPr>
              <w:jc w:val="center"/>
            </w:pPr>
            <w:r>
              <w:rPr>
                <w:rFonts w:ascii="Arial" w:hAnsi="Arial"/>
                <w:b/>
                <w:color w:val="FFFFFF"/>
                <w:sz w:val="17"/>
              </w:rPr>
              <w:t>Value</w:t>
            </w:r>
          </w:p>
        </w:tc>
      </w:tr>
      <w:tr w:rsidR="00962342" w14:paraId="2B805F39" w14:textId="77777777">
        <w:trPr>
          <w:jc w:val="center"/>
        </w:trPr>
        <w:tc>
          <w:tcPr>
            <w:tcW w:w="5040" w:type="dxa"/>
          </w:tcPr>
          <w:p w14:paraId="262ACA30" w14:textId="77777777" w:rsidR="00962342" w:rsidRDefault="00000000">
            <w:r>
              <w:rPr>
                <w:rFonts w:ascii="Arial" w:hAnsi="Arial"/>
                <w:sz w:val="16"/>
              </w:rPr>
              <w:t>Monthly Parquet files</w:t>
            </w:r>
          </w:p>
        </w:tc>
        <w:tc>
          <w:tcPr>
            <w:tcW w:w="5040" w:type="dxa"/>
          </w:tcPr>
          <w:p w14:paraId="529B5107" w14:textId="77777777" w:rsidR="00962342" w:rsidRDefault="00000000">
            <w:r>
              <w:rPr>
                <w:rFonts w:ascii="Arial" w:hAnsi="Arial"/>
                <w:sz w:val="16"/>
              </w:rPr>
              <w:t>12</w:t>
            </w:r>
          </w:p>
        </w:tc>
      </w:tr>
      <w:tr w:rsidR="00962342" w14:paraId="4BB2ECA0" w14:textId="77777777">
        <w:trPr>
          <w:jc w:val="center"/>
        </w:trPr>
        <w:tc>
          <w:tcPr>
            <w:tcW w:w="5040" w:type="dxa"/>
          </w:tcPr>
          <w:p w14:paraId="76D1D3D6" w14:textId="77777777" w:rsidR="00962342" w:rsidRDefault="00000000">
            <w:r>
              <w:rPr>
                <w:rFonts w:ascii="Arial" w:hAnsi="Arial"/>
                <w:sz w:val="16"/>
              </w:rPr>
              <w:t>Compressed size</w:t>
            </w:r>
          </w:p>
        </w:tc>
        <w:tc>
          <w:tcPr>
            <w:tcW w:w="5040" w:type="dxa"/>
          </w:tcPr>
          <w:p w14:paraId="6AB8B98B" w14:textId="77777777" w:rsidR="00962342" w:rsidRDefault="00000000">
            <w:r>
              <w:rPr>
                <w:rFonts w:ascii="Arial" w:hAnsi="Arial"/>
                <w:sz w:val="16"/>
              </w:rPr>
              <w:t>84.28 MB</w:t>
            </w:r>
          </w:p>
        </w:tc>
      </w:tr>
    </w:tbl>
    <w:p w14:paraId="2A2C9BE1" w14:textId="77777777" w:rsidR="00962342" w:rsidRDefault="00000000">
      <w:r>
        <w:br w:type="page"/>
      </w:r>
    </w:p>
    <w:tbl>
      <w:tblPr>
        <w:tblW w:w="0" w:type="auto"/>
        <w:jc w:val="center"/>
        <w:tblLook w:val="04A0" w:firstRow="1" w:lastRow="0" w:firstColumn="1" w:lastColumn="0" w:noHBand="0" w:noVBand="1"/>
      </w:tblPr>
      <w:tblGrid>
        <w:gridCol w:w="5040"/>
        <w:gridCol w:w="5040"/>
      </w:tblGrid>
      <w:tr w:rsidR="00962342" w14:paraId="427FD3AA" w14:textId="77777777">
        <w:trPr>
          <w:jc w:val="center"/>
        </w:trPr>
        <w:tc>
          <w:tcPr>
            <w:tcW w:w="5040" w:type="dxa"/>
            <w:shd w:val="clear" w:color="auto" w:fill="1B2631"/>
          </w:tcPr>
          <w:p w14:paraId="0C64D3D8" w14:textId="77777777" w:rsidR="00962342" w:rsidRDefault="00000000" w:rsidP="00A30FA2">
            <w:pPr>
              <w:jc w:val="center"/>
            </w:pPr>
            <w:r>
              <w:rPr>
                <w:rFonts w:ascii="Arial" w:hAnsi="Arial"/>
                <w:b/>
                <w:color w:val="FFFFFF"/>
                <w:sz w:val="17"/>
              </w:rPr>
              <w:lastRenderedPageBreak/>
              <w:t>Metric</w:t>
            </w:r>
          </w:p>
        </w:tc>
        <w:tc>
          <w:tcPr>
            <w:tcW w:w="5040" w:type="dxa"/>
            <w:shd w:val="clear" w:color="auto" w:fill="1B2631"/>
          </w:tcPr>
          <w:p w14:paraId="131FB56D" w14:textId="77777777" w:rsidR="00962342" w:rsidRDefault="00000000" w:rsidP="00A30FA2">
            <w:pPr>
              <w:jc w:val="center"/>
            </w:pPr>
            <w:r>
              <w:rPr>
                <w:rFonts w:ascii="Arial" w:hAnsi="Arial"/>
                <w:b/>
                <w:color w:val="FFFFFF"/>
                <w:sz w:val="17"/>
              </w:rPr>
              <w:t>Value</w:t>
            </w:r>
          </w:p>
        </w:tc>
      </w:tr>
      <w:tr w:rsidR="00962342" w14:paraId="105C1FEE" w14:textId="77777777">
        <w:trPr>
          <w:jc w:val="center"/>
        </w:trPr>
        <w:tc>
          <w:tcPr>
            <w:tcW w:w="5040" w:type="dxa"/>
          </w:tcPr>
          <w:p w14:paraId="3CE7FC05" w14:textId="77777777" w:rsidR="00962342" w:rsidRDefault="00000000">
            <w:r>
              <w:rPr>
                <w:rFonts w:ascii="Arial" w:hAnsi="Arial"/>
                <w:sz w:val="16"/>
              </w:rPr>
              <w:t>Raw rows</w:t>
            </w:r>
          </w:p>
        </w:tc>
        <w:tc>
          <w:tcPr>
            <w:tcW w:w="5040" w:type="dxa"/>
          </w:tcPr>
          <w:p w14:paraId="2ABC2ECC" w14:textId="77777777" w:rsidR="00962342" w:rsidRDefault="00000000">
            <w:r>
              <w:rPr>
                <w:rFonts w:ascii="Arial" w:hAnsi="Arial"/>
                <w:sz w:val="16"/>
              </w:rPr>
              <w:t>46,937,170</w:t>
            </w:r>
          </w:p>
        </w:tc>
      </w:tr>
      <w:tr w:rsidR="00962342" w14:paraId="28BC47E0" w14:textId="77777777">
        <w:trPr>
          <w:jc w:val="center"/>
        </w:trPr>
        <w:tc>
          <w:tcPr>
            <w:tcW w:w="5040" w:type="dxa"/>
          </w:tcPr>
          <w:p w14:paraId="39419C71" w14:textId="77777777" w:rsidR="00962342" w:rsidRDefault="00000000">
            <w:r>
              <w:rPr>
                <w:rFonts w:ascii="Arial" w:hAnsi="Arial"/>
                <w:sz w:val="16"/>
              </w:rPr>
              <w:t>Rows after cleaning</w:t>
            </w:r>
          </w:p>
        </w:tc>
        <w:tc>
          <w:tcPr>
            <w:tcW w:w="5040" w:type="dxa"/>
          </w:tcPr>
          <w:p w14:paraId="251B709F" w14:textId="77777777" w:rsidR="00962342" w:rsidRDefault="00000000">
            <w:r>
              <w:rPr>
                <w:rFonts w:ascii="Arial" w:hAnsi="Arial"/>
                <w:sz w:val="16"/>
              </w:rPr>
              <w:t>46,937,146 (100.00% retention)</w:t>
            </w:r>
          </w:p>
        </w:tc>
      </w:tr>
      <w:tr w:rsidR="00962342" w14:paraId="6C7684CE" w14:textId="77777777">
        <w:trPr>
          <w:jc w:val="center"/>
        </w:trPr>
        <w:tc>
          <w:tcPr>
            <w:tcW w:w="5040" w:type="dxa"/>
          </w:tcPr>
          <w:p w14:paraId="5A1E141F" w14:textId="77777777" w:rsidR="00962342" w:rsidRDefault="00000000">
            <w:r>
              <w:rPr>
                <w:rFonts w:ascii="Arial" w:hAnsi="Arial"/>
                <w:sz w:val="16"/>
              </w:rPr>
              <w:t>Qualified monitoring stations</w:t>
            </w:r>
          </w:p>
        </w:tc>
        <w:tc>
          <w:tcPr>
            <w:tcW w:w="5040" w:type="dxa"/>
          </w:tcPr>
          <w:p w14:paraId="4EF6C87F" w14:textId="77777777" w:rsidR="00962342" w:rsidRDefault="00000000">
            <w:r>
              <w:rPr>
                <w:rFonts w:ascii="Arial" w:hAnsi="Arial"/>
                <w:sz w:val="16"/>
              </w:rPr>
              <w:t>518 (≥ 2,000 hourly readings)</w:t>
            </w:r>
          </w:p>
        </w:tc>
      </w:tr>
      <w:tr w:rsidR="00962342" w14:paraId="1DC87F5D" w14:textId="77777777">
        <w:trPr>
          <w:jc w:val="center"/>
        </w:trPr>
        <w:tc>
          <w:tcPr>
            <w:tcW w:w="5040" w:type="dxa"/>
          </w:tcPr>
          <w:p w14:paraId="19D1B66B" w14:textId="77777777" w:rsidR="00962342" w:rsidRDefault="00000000">
            <w:r>
              <w:rPr>
                <w:rFonts w:ascii="Arial" w:hAnsi="Arial"/>
                <w:sz w:val="16"/>
              </w:rPr>
              <w:t>Monitored States &amp; UTs</w:t>
            </w:r>
          </w:p>
        </w:tc>
        <w:tc>
          <w:tcPr>
            <w:tcW w:w="5040" w:type="dxa"/>
          </w:tcPr>
          <w:p w14:paraId="1D4FE9C9" w14:textId="77777777" w:rsidR="00962342" w:rsidRDefault="00000000">
            <w:r>
              <w:rPr>
                <w:rFonts w:ascii="Arial" w:hAnsi="Arial"/>
                <w:sz w:val="16"/>
              </w:rPr>
              <w:t>28</w:t>
            </w:r>
          </w:p>
        </w:tc>
      </w:tr>
    </w:tbl>
    <w:p w14:paraId="2FCAE73B" w14:textId="77777777" w:rsidR="00962342" w:rsidRDefault="00000000">
      <w:pPr>
        <w:keepNext/>
        <w:spacing w:before="240" w:after="80"/>
      </w:pPr>
      <w:r>
        <w:rPr>
          <w:rFonts w:ascii="Arial" w:hAnsi="Arial"/>
          <w:b/>
          <w:sz w:val="24"/>
        </w:rPr>
        <w:t>Tools and Technologies :</w:t>
      </w:r>
    </w:p>
    <w:tbl>
      <w:tblPr>
        <w:tblW w:w="0" w:type="auto"/>
        <w:jc w:val="center"/>
        <w:tblLook w:val="04A0" w:firstRow="1" w:lastRow="0" w:firstColumn="1" w:lastColumn="0" w:noHBand="0" w:noVBand="1"/>
      </w:tblPr>
      <w:tblGrid>
        <w:gridCol w:w="5040"/>
        <w:gridCol w:w="5040"/>
      </w:tblGrid>
      <w:tr w:rsidR="00962342" w14:paraId="686A4C20" w14:textId="77777777">
        <w:trPr>
          <w:jc w:val="center"/>
        </w:trPr>
        <w:tc>
          <w:tcPr>
            <w:tcW w:w="5040" w:type="dxa"/>
            <w:shd w:val="clear" w:color="auto" w:fill="1B2631"/>
          </w:tcPr>
          <w:p w14:paraId="1615911C" w14:textId="77777777" w:rsidR="00962342" w:rsidRDefault="00000000" w:rsidP="00A30FA2">
            <w:pPr>
              <w:jc w:val="center"/>
            </w:pPr>
            <w:r>
              <w:rPr>
                <w:rFonts w:ascii="Arial" w:hAnsi="Arial"/>
                <w:b/>
                <w:color w:val="FFFFFF"/>
                <w:sz w:val="17"/>
              </w:rPr>
              <w:t>Tool</w:t>
            </w:r>
          </w:p>
        </w:tc>
        <w:tc>
          <w:tcPr>
            <w:tcW w:w="5040" w:type="dxa"/>
            <w:shd w:val="clear" w:color="auto" w:fill="1B2631"/>
          </w:tcPr>
          <w:p w14:paraId="546CAE5F" w14:textId="77777777" w:rsidR="00962342" w:rsidRDefault="00000000" w:rsidP="00A30FA2">
            <w:pPr>
              <w:jc w:val="center"/>
            </w:pPr>
            <w:r>
              <w:rPr>
                <w:rFonts w:ascii="Arial" w:hAnsi="Arial"/>
                <w:b/>
                <w:color w:val="FFFFFF"/>
                <w:sz w:val="17"/>
              </w:rPr>
              <w:t>Used for</w:t>
            </w:r>
          </w:p>
        </w:tc>
      </w:tr>
      <w:tr w:rsidR="00962342" w14:paraId="083018C1" w14:textId="77777777">
        <w:trPr>
          <w:jc w:val="center"/>
        </w:trPr>
        <w:tc>
          <w:tcPr>
            <w:tcW w:w="5040" w:type="dxa"/>
            <w:shd w:val="clear" w:color="auto" w:fill="FFFFFF"/>
          </w:tcPr>
          <w:p w14:paraId="50F74AC1" w14:textId="77777777" w:rsidR="00962342" w:rsidRDefault="00000000">
            <w:pPr>
              <w:spacing w:before="40" w:after="40"/>
            </w:pPr>
            <w:r>
              <w:rPr>
                <w:rFonts w:ascii="Arial" w:hAnsi="Arial"/>
                <w:b/>
                <w:sz w:val="16"/>
              </w:rPr>
              <w:t>Apache Spark 3.5 (PySpark)</w:t>
            </w:r>
          </w:p>
        </w:tc>
        <w:tc>
          <w:tcPr>
            <w:tcW w:w="5040" w:type="dxa"/>
            <w:shd w:val="clear" w:color="auto" w:fill="FFFFFF"/>
          </w:tcPr>
          <w:p w14:paraId="39FBB3DE" w14:textId="77777777" w:rsidR="00962342" w:rsidRDefault="00000000">
            <w:pPr>
              <w:spacing w:before="40" w:after="40"/>
            </w:pPr>
            <w:r>
              <w:rPr>
                <w:rFonts w:ascii="Arial" w:hAnsi="Arial"/>
                <w:sz w:val="16"/>
              </w:rPr>
              <w:t>Distributed loading, validation, and multi-core analysis on all CPU cores (local[*] mode)</w:t>
            </w:r>
          </w:p>
        </w:tc>
      </w:tr>
      <w:tr w:rsidR="00962342" w14:paraId="2DC15C93" w14:textId="77777777">
        <w:trPr>
          <w:jc w:val="center"/>
        </w:trPr>
        <w:tc>
          <w:tcPr>
            <w:tcW w:w="5040" w:type="dxa"/>
            <w:shd w:val="clear" w:color="auto" w:fill="F8F9F9"/>
          </w:tcPr>
          <w:p w14:paraId="38325411" w14:textId="77777777" w:rsidR="00962342" w:rsidRDefault="00000000">
            <w:pPr>
              <w:spacing w:before="40" w:after="40"/>
            </w:pPr>
            <w:r>
              <w:rPr>
                <w:rFonts w:ascii="Arial" w:hAnsi="Arial"/>
                <w:b/>
                <w:sz w:val="16"/>
              </w:rPr>
              <w:t>Spark SQL</w:t>
            </w:r>
          </w:p>
        </w:tc>
        <w:tc>
          <w:tcPr>
            <w:tcW w:w="5040" w:type="dxa"/>
            <w:shd w:val="clear" w:color="auto" w:fill="F8F9F9"/>
          </w:tcPr>
          <w:p w14:paraId="7DCFF39A" w14:textId="77777777" w:rsidR="00962342" w:rsidRDefault="00000000">
            <w:pPr>
              <w:spacing w:before="40" w:after="40"/>
            </w:pPr>
            <w:r>
              <w:rPr>
                <w:rFonts w:ascii="Arial" w:hAnsi="Arial"/>
                <w:sz w:val="16"/>
              </w:rPr>
              <w:t>City-month aggregations, 24-hr diurnal profiles, seasonal shift queries, and station rankings</w:t>
            </w:r>
          </w:p>
        </w:tc>
      </w:tr>
      <w:tr w:rsidR="00962342" w14:paraId="4DB27B20" w14:textId="77777777">
        <w:trPr>
          <w:jc w:val="center"/>
        </w:trPr>
        <w:tc>
          <w:tcPr>
            <w:tcW w:w="5040" w:type="dxa"/>
            <w:shd w:val="clear" w:color="auto" w:fill="FFFFFF"/>
          </w:tcPr>
          <w:p w14:paraId="6E09302B" w14:textId="77777777" w:rsidR="00962342" w:rsidRDefault="00000000">
            <w:pPr>
              <w:spacing w:before="40" w:after="40"/>
            </w:pPr>
            <w:r>
              <w:rPr>
                <w:rFonts w:ascii="Arial" w:hAnsi="Arial"/>
                <w:b/>
                <w:sz w:val="16"/>
              </w:rPr>
              <w:t>Hive Parquet</w:t>
            </w:r>
          </w:p>
        </w:tc>
        <w:tc>
          <w:tcPr>
            <w:tcW w:w="5040" w:type="dxa"/>
            <w:shd w:val="clear" w:color="auto" w:fill="FFFFFF"/>
          </w:tcPr>
          <w:p w14:paraId="7189C75F" w14:textId="77777777" w:rsidR="00962342" w:rsidRDefault="00000000">
            <w:pPr>
              <w:spacing w:before="40" w:after="40"/>
            </w:pPr>
            <w:r>
              <w:rPr>
                <w:rFonts w:ascii="Arial" w:hAnsi="Arial"/>
                <w:sz w:val="16"/>
              </w:rPr>
              <w:t>Columnar, compressed storage partitioned by obs_month for predicate pushdown and pruning</w:t>
            </w:r>
          </w:p>
        </w:tc>
      </w:tr>
      <w:tr w:rsidR="00962342" w14:paraId="08B7A201" w14:textId="77777777">
        <w:trPr>
          <w:jc w:val="center"/>
        </w:trPr>
        <w:tc>
          <w:tcPr>
            <w:tcW w:w="5040" w:type="dxa"/>
            <w:shd w:val="clear" w:color="auto" w:fill="F8F9F9"/>
          </w:tcPr>
          <w:p w14:paraId="532A5EF4" w14:textId="77777777" w:rsidR="00962342" w:rsidRDefault="00000000">
            <w:pPr>
              <w:spacing w:before="40" w:after="40"/>
            </w:pPr>
            <w:r>
              <w:rPr>
                <w:rFonts w:ascii="Arial" w:hAnsi="Arial"/>
                <w:b/>
                <w:sz w:val="16"/>
              </w:rPr>
              <w:t>Scikit-Learn</w:t>
            </w:r>
          </w:p>
        </w:tc>
        <w:tc>
          <w:tcPr>
            <w:tcW w:w="5040" w:type="dxa"/>
            <w:shd w:val="clear" w:color="auto" w:fill="F8F9F9"/>
          </w:tcPr>
          <w:p w14:paraId="1B8998CD" w14:textId="77777777" w:rsidR="00962342" w:rsidRDefault="00000000">
            <w:pPr>
              <w:spacing w:before="40" w:after="40"/>
            </w:pPr>
            <w:r>
              <w:rPr>
                <w:rFonts w:ascii="Arial" w:hAnsi="Arial"/>
                <w:sz w:val="16"/>
              </w:rPr>
              <w:t>Time-series forecasting experiment comparing Persistence, Rolling Mean, Ridge, and GBR</w:t>
            </w:r>
          </w:p>
        </w:tc>
      </w:tr>
      <w:tr w:rsidR="00962342" w14:paraId="29622213" w14:textId="77777777">
        <w:trPr>
          <w:jc w:val="center"/>
        </w:trPr>
        <w:tc>
          <w:tcPr>
            <w:tcW w:w="5040" w:type="dxa"/>
            <w:shd w:val="clear" w:color="auto" w:fill="FFFFFF"/>
          </w:tcPr>
          <w:p w14:paraId="07CEB651" w14:textId="77777777" w:rsidR="00962342" w:rsidRDefault="00000000">
            <w:pPr>
              <w:spacing w:before="40" w:after="40"/>
            </w:pPr>
            <w:r>
              <w:rPr>
                <w:rFonts w:ascii="Arial" w:hAnsi="Arial"/>
                <w:b/>
                <w:sz w:val="16"/>
              </w:rPr>
              <w:t>Streamlit + Plotly</w:t>
            </w:r>
          </w:p>
        </w:tc>
        <w:tc>
          <w:tcPr>
            <w:tcW w:w="5040" w:type="dxa"/>
            <w:shd w:val="clear" w:color="auto" w:fill="FFFFFF"/>
          </w:tcPr>
          <w:p w14:paraId="2034EC83" w14:textId="77777777" w:rsidR="00962342" w:rsidRDefault="00000000">
            <w:pPr>
              <w:spacing w:before="40" w:after="40"/>
            </w:pPr>
            <w:r>
              <w:rPr>
                <w:rFonts w:ascii="Arial" w:hAnsi="Arial"/>
                <w:sz w:val="16"/>
              </w:rPr>
              <w:t>Interactive web dashboard: geospatial Mapbox map, diurnal curves, and correlation heatmaps</w:t>
            </w:r>
          </w:p>
        </w:tc>
      </w:tr>
      <w:tr w:rsidR="00962342" w14:paraId="0C1AF6F7" w14:textId="77777777">
        <w:trPr>
          <w:jc w:val="center"/>
        </w:trPr>
        <w:tc>
          <w:tcPr>
            <w:tcW w:w="5040" w:type="dxa"/>
            <w:shd w:val="clear" w:color="auto" w:fill="F8F9F9"/>
          </w:tcPr>
          <w:p w14:paraId="34C20D7E" w14:textId="77777777" w:rsidR="00962342" w:rsidRDefault="00000000">
            <w:pPr>
              <w:spacing w:before="40" w:after="40"/>
            </w:pPr>
            <w:r>
              <w:rPr>
                <w:rFonts w:ascii="Arial" w:hAnsi="Arial"/>
                <w:b/>
                <w:sz w:val="16"/>
              </w:rPr>
              <w:t>Python, Jupyter, Pytest</w:t>
            </w:r>
          </w:p>
        </w:tc>
        <w:tc>
          <w:tcPr>
            <w:tcW w:w="5040" w:type="dxa"/>
            <w:shd w:val="clear" w:color="auto" w:fill="F8F9F9"/>
          </w:tcPr>
          <w:p w14:paraId="138C6568" w14:textId="77777777" w:rsidR="00962342" w:rsidRDefault="00000000">
            <w:pPr>
              <w:spacing w:before="40" w:after="40"/>
            </w:pPr>
            <w:r>
              <w:rPr>
                <w:rFonts w:ascii="Arial" w:hAnsi="Arial"/>
                <w:sz w:val="16"/>
              </w:rPr>
              <w:t>Pipeline scripts, 5 executed reproducible notebooks, and automated 10-test validation suite</w:t>
            </w:r>
          </w:p>
        </w:tc>
      </w:tr>
    </w:tbl>
    <w:p w14:paraId="01810D58" w14:textId="77777777" w:rsidR="00962342" w:rsidRDefault="00000000">
      <w:pPr>
        <w:keepNext/>
        <w:spacing w:before="240" w:after="80"/>
      </w:pPr>
      <w:r>
        <w:rPr>
          <w:rFonts w:ascii="Arial" w:hAnsi="Arial"/>
          <w:b/>
          <w:sz w:val="24"/>
        </w:rPr>
        <w:t>System Architecture :</w:t>
      </w:r>
    </w:p>
    <w:p w14:paraId="4EE99181" w14:textId="77777777" w:rsidR="00962342" w:rsidRDefault="00000000">
      <w:pPr>
        <w:spacing w:after="100"/>
      </w:pPr>
      <w:r>
        <w:rPr>
          <w:rFonts w:ascii="Arial" w:hAnsi="Arial"/>
          <w:sz w:val="19"/>
        </w:rPr>
        <w:t>The project follows the Big Data Analytics life cycle: ingest → clean &amp; validate → store as partitioned Parquet → analyze with Spark SQL → visualize &amp; forecast. Spark does the heavy processing once; the Streamlit dashboard reads compact precomputed analytical tables, opening instantly without requiring Spark at runtime.</w:t>
      </w:r>
    </w:p>
    <w:p w14:paraId="717FE5F7" w14:textId="77777777" w:rsidR="00962342" w:rsidRDefault="00000000">
      <w:pPr>
        <w:jc w:val="center"/>
      </w:pPr>
      <w:r>
        <w:rPr>
          <w:noProof/>
        </w:rPr>
        <w:drawing>
          <wp:inline distT="0" distB="0" distL="0" distR="0" wp14:anchorId="1CC0DDC5" wp14:editId="2E087E86">
            <wp:extent cx="5669280" cy="19755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ig1_pipeline.png"/>
                    <pic:cNvPicPr/>
                  </pic:nvPicPr>
                  <pic:blipFill>
                    <a:blip r:embed="rId9"/>
                    <a:stretch>
                      <a:fillRect/>
                    </a:stretch>
                  </pic:blipFill>
                  <pic:spPr>
                    <a:xfrm>
                      <a:off x="0" y="0"/>
                      <a:ext cx="5669280" cy="1975581"/>
                    </a:xfrm>
                    <a:prstGeom prst="rect">
                      <a:avLst/>
                    </a:prstGeom>
                  </pic:spPr>
                </pic:pic>
              </a:graphicData>
            </a:graphic>
          </wp:inline>
        </w:drawing>
      </w:r>
    </w:p>
    <w:p w14:paraId="52A633CF" w14:textId="77777777" w:rsidR="00962342" w:rsidRDefault="00000000">
      <w:pPr>
        <w:spacing w:before="60" w:after="120"/>
        <w:jc w:val="center"/>
      </w:pPr>
      <w:r>
        <w:rPr>
          <w:rFonts w:ascii="Arial" w:hAnsi="Arial"/>
          <w:i/>
          <w:sz w:val="17"/>
        </w:rPr>
        <w:t>Figure 1: Pipeline and tool summary, from the data architecture workflow</w:t>
      </w:r>
    </w:p>
    <w:p w14:paraId="4D1E686F" w14:textId="77777777" w:rsidR="00962342" w:rsidRDefault="00000000">
      <w:pPr>
        <w:keepNext/>
        <w:spacing w:before="240" w:after="80"/>
      </w:pPr>
      <w:r>
        <w:rPr>
          <w:rFonts w:ascii="Arial" w:hAnsi="Arial"/>
          <w:b/>
          <w:sz w:val="24"/>
        </w:rPr>
        <w:t>Implementation :</w:t>
      </w:r>
    </w:p>
    <w:p w14:paraId="22995B2B" w14:textId="77777777" w:rsidR="00962342" w:rsidRDefault="00000000">
      <w:pPr>
        <w:spacing w:after="100"/>
      </w:pPr>
      <w:r>
        <w:rPr>
          <w:rFonts w:ascii="Arial" w:hAnsi="Arial"/>
          <w:sz w:val="19"/>
        </w:rPr>
        <w:t>1. Data Ingestion</w:t>
      </w:r>
      <w:r>
        <w:rPr>
          <w:rFonts w:ascii="Arial" w:hAnsi="Arial"/>
          <w:sz w:val="19"/>
        </w:rPr>
        <w:br/>
        <w:t>download_data.py connects securely to the XKDR API to retrieve stations.parquet (558 stations), parameters.parquet (15 pollutants), and all 12 monthly observation files for 2024 using streaming chunks and exponential backoff retries.</w:t>
      </w:r>
    </w:p>
    <w:p w14:paraId="704B4939" w14:textId="77777777" w:rsidR="00962342" w:rsidRDefault="00000000">
      <w:r>
        <w:br w:type="page"/>
      </w:r>
    </w:p>
    <w:p w14:paraId="13451049" w14:textId="77777777" w:rsidR="00962342" w:rsidRDefault="00000000">
      <w:pPr>
        <w:spacing w:after="100"/>
      </w:pPr>
      <w:r>
        <w:rPr>
          <w:rFonts w:ascii="Arial" w:hAnsi="Arial"/>
          <w:sz w:val="19"/>
        </w:rPr>
        <w:lastRenderedPageBreak/>
        <w:t>2. Loading with Spark</w:t>
      </w:r>
      <w:r>
        <w:rPr>
          <w:rFonts w:ascii="Arial" w:hAnsi="Arial"/>
          <w:sz w:val="19"/>
        </w:rPr>
        <w:br/>
        <w:t>Spark reads all 12 monthly Parquet files with automatic schema inference and predicate pushdown. Because Parquet splits data into columnar chunks, Spark parallelizes loading across all CPU cores.</w:t>
      </w:r>
    </w:p>
    <w:p w14:paraId="5B8E8EAB" w14:textId="77777777" w:rsidR="00962342" w:rsidRDefault="00000000">
      <w:pPr>
        <w:pBdr>
          <w:left w:val="single" w:sz="12" w:space="4" w:color="0288D1"/>
        </w:pBdr>
        <w:shd w:val="clear" w:color="auto" w:fill="F5F5F5"/>
        <w:spacing w:before="80" w:after="80"/>
      </w:pPr>
      <w:r>
        <w:rPr>
          <w:rFonts w:ascii="Consolas" w:hAnsi="Consolas"/>
          <w:color w:val="1E1E1E"/>
          <w:sz w:val="16"/>
        </w:rPr>
        <w:t>raw = spark.read.parquet("data/raw/year=2024/month=*/data.parquet")</w:t>
      </w:r>
      <w:r>
        <w:rPr>
          <w:rFonts w:ascii="Consolas" w:hAnsi="Consolas"/>
          <w:color w:val="1E1E1E"/>
          <w:sz w:val="16"/>
        </w:rPr>
        <w:br/>
        <w:t>raw = raw.withColumn("collected_at", F.to_timestamp("collected_at"))</w:t>
      </w:r>
      <w:r>
        <w:rPr>
          <w:rFonts w:ascii="Consolas" w:hAnsi="Consolas"/>
          <w:color w:val="1E1E1E"/>
          <w:sz w:val="16"/>
        </w:rPr>
        <w:br/>
        <w:t>raw = raw.withColumn("obs_month", F.month("collected_at"))</w:t>
      </w:r>
      <w:r>
        <w:rPr>
          <w:rFonts w:ascii="Consolas" w:hAnsi="Consolas"/>
          <w:color w:val="1E1E1E"/>
          <w:sz w:val="16"/>
        </w:rPr>
        <w:br/>
        <w:t>raw_count = raw.count()  # 46,937,170 rows</w:t>
      </w:r>
    </w:p>
    <w:p w14:paraId="07042146" w14:textId="77777777" w:rsidR="00962342" w:rsidRDefault="00000000">
      <w:pPr>
        <w:spacing w:after="100"/>
      </w:pPr>
      <w:r>
        <w:rPr>
          <w:rFonts w:ascii="Arial" w:hAnsi="Arial"/>
          <w:sz w:val="19"/>
        </w:rPr>
        <w:t>Counting all 46,937,170 rows took ~18 seconds on local cores, processing over 2.6 million rows per second.</w:t>
      </w:r>
    </w:p>
    <w:p w14:paraId="447D242A" w14:textId="77777777" w:rsidR="00962342" w:rsidRDefault="00000000">
      <w:pPr>
        <w:spacing w:after="100"/>
      </w:pPr>
      <w:r>
        <w:rPr>
          <w:rFonts w:ascii="Arial" w:hAnsi="Arial"/>
          <w:sz w:val="19"/>
        </w:rPr>
        <w:t>3. Cleaning and Parquet</w:t>
      </w:r>
      <w:r>
        <w:rPr>
          <w:rFonts w:ascii="Arial" w:hAnsi="Arial"/>
          <w:sz w:val="19"/>
        </w:rPr>
        <w:br/>
        <w:t>We filter out physical sensor anomalies (PM2.5 outside [0, 1500], PM10 outside [0, 2000], NO2 outside [0, 1000]), drop null timestamps, remove duplicates, and derive calendar attributes. Cleaned rows are written as Hive-partitioned Parquet.</w:t>
      </w:r>
    </w:p>
    <w:p w14:paraId="0FE13FC5" w14:textId="77777777" w:rsidR="00962342" w:rsidRDefault="00000000">
      <w:pPr>
        <w:pBdr>
          <w:left w:val="single" w:sz="12" w:space="4" w:color="0288D1"/>
        </w:pBdr>
        <w:shd w:val="clear" w:color="auto" w:fill="F5F5F5"/>
        <w:spacing w:before="80" w:after="80"/>
      </w:pPr>
      <w:r>
        <w:rPr>
          <w:rFonts w:ascii="Consolas" w:hAnsi="Consolas"/>
          <w:color w:val="1E1E1E"/>
          <w:sz w:val="16"/>
        </w:rPr>
        <w:t>clean = (raw.filter(F.col("collected_at").isNotNull() &amp; F.col("value").isNotNull())</w:t>
      </w:r>
      <w:r>
        <w:rPr>
          <w:rFonts w:ascii="Consolas" w:hAnsi="Consolas"/>
          <w:color w:val="1E1E1E"/>
          <w:sz w:val="16"/>
        </w:rPr>
        <w:br/>
        <w:t xml:space="preserve"> .filter((F.col("parameter") == "pm25") &amp; F.col("value").between(0, 1500) |</w:t>
      </w:r>
      <w:r>
        <w:rPr>
          <w:rFonts w:ascii="Consolas" w:hAnsi="Consolas"/>
          <w:color w:val="1E1E1E"/>
          <w:sz w:val="16"/>
        </w:rPr>
        <w:br/>
        <w:t xml:space="preserve">         (F.col("parameter") == "pm10") &amp; F.col("value").between(0, 2000) |</w:t>
      </w:r>
      <w:r>
        <w:rPr>
          <w:rFonts w:ascii="Consolas" w:hAnsi="Consolas"/>
          <w:color w:val="1E1E1E"/>
          <w:sz w:val="16"/>
        </w:rPr>
        <w:br/>
        <w:t xml:space="preserve">         (F.col("parameter") == "no2")  &amp; F.col("value").between(0, 1000))</w:t>
      </w:r>
      <w:r>
        <w:rPr>
          <w:rFonts w:ascii="Consolas" w:hAnsi="Consolas"/>
          <w:color w:val="1E1E1E"/>
          <w:sz w:val="16"/>
        </w:rPr>
        <w:br/>
        <w:t xml:space="preserve"> .withColumn("season", F.when(F.col("obs_month").isin(12,1,2), "Winter")</w:t>
      </w:r>
      <w:r>
        <w:rPr>
          <w:rFonts w:ascii="Consolas" w:hAnsi="Consolas"/>
          <w:color w:val="1E1E1E"/>
          <w:sz w:val="16"/>
        </w:rPr>
        <w:br/>
        <w:t xml:space="preserve">                       .when(F.col("obs_month").isin(3,4,5), "Summer")</w:t>
      </w:r>
      <w:r>
        <w:rPr>
          <w:rFonts w:ascii="Consolas" w:hAnsi="Consolas"/>
          <w:color w:val="1E1E1E"/>
          <w:sz w:val="16"/>
        </w:rPr>
        <w:br/>
        <w:t xml:space="preserve">                       .when(F.col("obs_month").isin(6,7,8,9), "Monsoon").otherwise("Post-Monsoon")))</w:t>
      </w:r>
      <w:r>
        <w:rPr>
          <w:rFonts w:ascii="Consolas" w:hAnsi="Consolas"/>
          <w:color w:val="1E1E1E"/>
          <w:sz w:val="16"/>
        </w:rPr>
        <w:br/>
        <w:t>clean.write.partitionBy("obs_month").mode("overwrite").parquet("data/processed/clean.parquet")</w:t>
      </w:r>
    </w:p>
    <w:p w14:paraId="4F581A3E" w14:textId="77777777" w:rsidR="00962342" w:rsidRDefault="00000000">
      <w:pPr>
        <w:spacing w:after="100"/>
      </w:pPr>
      <w:r>
        <w:rPr>
          <w:rFonts w:ascii="Arial" w:hAnsi="Arial"/>
          <w:sz w:val="19"/>
        </w:rPr>
        <w:t>4. Analysis with Spark SQL</w:t>
      </w:r>
      <w:r>
        <w:rPr>
          <w:rFonts w:ascii="Arial" w:hAnsi="Arial"/>
          <w:sz w:val="19"/>
        </w:rPr>
        <w:br/>
        <w:t>The Parquet table is registered as an in-memory SQL view. Spark SQL computes multi-dimensional aggregations for diurnal cycles, seasonal shifts, and regulatory NAAQS exceedance rates (PM2.5 &gt; 60 µg/m³).</w:t>
      </w:r>
    </w:p>
    <w:p w14:paraId="01F3A6C7" w14:textId="77777777" w:rsidR="00962342" w:rsidRDefault="00000000">
      <w:pPr>
        <w:pBdr>
          <w:left w:val="single" w:sz="12" w:space="4" w:color="0288D1"/>
        </w:pBdr>
        <w:shd w:val="clear" w:color="auto" w:fill="F5F5F5"/>
        <w:spacing w:before="80" w:after="80"/>
      </w:pPr>
      <w:r>
        <w:rPr>
          <w:rFonts w:ascii="Consolas" w:hAnsi="Consolas"/>
          <w:color w:val="1E1E1E"/>
          <w:sz w:val="16"/>
        </w:rPr>
        <w:t>WITH station_stats AS (</w:t>
      </w:r>
      <w:r>
        <w:rPr>
          <w:rFonts w:ascii="Consolas" w:hAnsi="Consolas"/>
          <w:color w:val="1E1E1E"/>
          <w:sz w:val="16"/>
        </w:rPr>
        <w:br/>
        <w:t xml:space="preserve">    SELECT station, AVG(value) AS mean_pm25, MAX(value) AS peak_pm25,</w:t>
      </w:r>
      <w:r>
        <w:rPr>
          <w:rFonts w:ascii="Consolas" w:hAnsi="Consolas"/>
          <w:color w:val="1E1E1E"/>
          <w:sz w:val="16"/>
        </w:rPr>
        <w:br/>
        <w:t xml:space="preserve">           ROUND(SUM(CASE WHEN value &gt; 60 THEN 1 ELSE 0 END) * 100.0 / COUNT(*), 1) AS exceed_pct,</w:t>
      </w:r>
      <w:r>
        <w:rPr>
          <w:rFonts w:ascii="Consolas" w:hAnsi="Consolas"/>
          <w:color w:val="1E1E1E"/>
          <w:sz w:val="16"/>
        </w:rPr>
        <w:br/>
        <w:t xml:space="preserve">           PERCENTILE_APPROX(value, 0.95) AS p95_pm25, COUNT(*) AS n_obs</w:t>
      </w:r>
      <w:r>
        <w:rPr>
          <w:rFonts w:ascii="Consolas" w:hAnsi="Consolas"/>
          <w:color w:val="1E1E1E"/>
          <w:sz w:val="16"/>
        </w:rPr>
        <w:br/>
        <w:t xml:space="preserve">    FROM air_quality WHERE parameter = 'pm25' GROUP BY station HAVING n_obs &gt;= 2000</w:t>
      </w:r>
      <w:r>
        <w:rPr>
          <w:rFonts w:ascii="Consolas" w:hAnsi="Consolas"/>
          <w:color w:val="1E1E1E"/>
          <w:sz w:val="16"/>
        </w:rPr>
        <w:br/>
        <w:t>)</w:t>
      </w:r>
      <w:r>
        <w:rPr>
          <w:rFonts w:ascii="Consolas" w:hAnsi="Consolas"/>
          <w:color w:val="1E1E1E"/>
          <w:sz w:val="16"/>
        </w:rPr>
        <w:br/>
        <w:t>SELECT * FROM station_stats ORDER BY mean_pm25 DESC LIMIT 20;</w:t>
      </w:r>
    </w:p>
    <w:p w14:paraId="7B51C322" w14:textId="77777777" w:rsidR="00962342" w:rsidRDefault="00000000">
      <w:pPr>
        <w:spacing w:after="100"/>
      </w:pPr>
      <w:r>
        <w:rPr>
          <w:rFonts w:ascii="Arial" w:hAnsi="Arial"/>
          <w:sz w:val="19"/>
        </w:rPr>
        <w:t>5. Multi-Criteria Hotspot Index (MCHI)</w:t>
      </w:r>
      <w:r>
        <w:rPr>
          <w:rFonts w:ascii="Arial" w:hAnsi="Arial"/>
          <w:sz w:val="19"/>
        </w:rPr>
        <w:br/>
        <w:t>To prevent simple average distortion, we formulate a composite Hotspot Index evaluating chronic exposure, regulatory exceedance frequency, and acute 95th percentile peak severity across 518 qualified stations:</w:t>
      </w:r>
    </w:p>
    <w:p w14:paraId="0AB7DAF4" w14:textId="77777777" w:rsidR="00962342" w:rsidRDefault="00000000">
      <w:pPr>
        <w:pBdr>
          <w:left w:val="single" w:sz="12" w:space="4" w:color="0288D1"/>
        </w:pBdr>
        <w:shd w:val="clear" w:color="auto" w:fill="F5F5F5"/>
        <w:spacing w:before="80" w:after="80"/>
      </w:pPr>
      <w:r>
        <w:rPr>
          <w:rFonts w:ascii="Consolas" w:hAnsi="Consolas"/>
          <w:color w:val="1E1E1E"/>
          <w:sz w:val="16"/>
        </w:rPr>
        <w:t>MCHI = 0.40 * norm(Mean) + 0.30 * norm(Exceed_Rate) + 0.20 * norm(P95) + 0.10 * norm(Obs_Count)</w:t>
      </w:r>
    </w:p>
    <w:p w14:paraId="4A5786E6" w14:textId="77777777" w:rsidR="00962342" w:rsidRDefault="00000000">
      <w:pPr>
        <w:spacing w:after="100"/>
      </w:pPr>
      <w:r>
        <w:rPr>
          <w:rFonts w:ascii="Arial" w:hAnsi="Arial"/>
          <w:sz w:val="19"/>
        </w:rPr>
        <w:t>6. Dashboard</w:t>
      </w:r>
      <w:r>
        <w:rPr>
          <w:rFonts w:ascii="Arial" w:hAnsi="Arial"/>
          <w:sz w:val="19"/>
        </w:rPr>
        <w:br/>
        <w:t>All analytical results are converted to compact CSV summaries in outputs/tables/. app.py is a Streamlit app that reads these tables and provides 8 interactive modules: Overview, Spark Pipeline, Multi-Pollutant, Diurnal Cycles, Hotspot Rankings, Mapbox Map, Forecasting Lab, and Data Export. Charts are built with Plotly for seamless hover and zoom interaction.</w:t>
      </w:r>
    </w:p>
    <w:p w14:paraId="1ADF119B" w14:textId="77777777" w:rsidR="00962342" w:rsidRDefault="00000000">
      <w:r>
        <w:br w:type="page"/>
      </w:r>
    </w:p>
    <w:p w14:paraId="7AB317EF" w14:textId="77777777" w:rsidR="00962342" w:rsidRDefault="00000000">
      <w:pPr>
        <w:keepNext/>
        <w:spacing w:before="240" w:after="80"/>
      </w:pPr>
      <w:r>
        <w:rPr>
          <w:rFonts w:ascii="Arial" w:hAnsi="Arial"/>
          <w:b/>
          <w:sz w:val="24"/>
        </w:rPr>
        <w:lastRenderedPageBreak/>
        <w:t>Results :</w:t>
      </w:r>
    </w:p>
    <w:p w14:paraId="43AA279B" w14:textId="77777777" w:rsidR="00962342" w:rsidRDefault="00000000">
      <w:pPr>
        <w:spacing w:after="100"/>
      </w:pPr>
      <w:r>
        <w:rPr>
          <w:rFonts w:ascii="Arial" w:hAnsi="Arial"/>
          <w:sz w:val="19"/>
        </w:rPr>
        <w:t>Top pollution hotspots (MCHI ranking)</w:t>
      </w:r>
    </w:p>
    <w:p w14:paraId="71BE41D8" w14:textId="77777777" w:rsidR="00962342" w:rsidRDefault="00000000">
      <w:pPr>
        <w:jc w:val="center"/>
      </w:pPr>
      <w:r>
        <w:rPr>
          <w:noProof/>
        </w:rPr>
        <w:drawing>
          <wp:inline distT="0" distB="0" distL="0" distR="0" wp14:anchorId="16EA97C0" wp14:editId="40CC55A6">
            <wp:extent cx="5303520" cy="24635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ig2_hotspots.png"/>
                    <pic:cNvPicPr/>
                  </pic:nvPicPr>
                  <pic:blipFill>
                    <a:blip r:embed="rId10"/>
                    <a:stretch>
                      <a:fillRect/>
                    </a:stretch>
                  </pic:blipFill>
                  <pic:spPr>
                    <a:xfrm>
                      <a:off x="0" y="0"/>
                      <a:ext cx="5303520" cy="2463522"/>
                    </a:xfrm>
                    <a:prstGeom prst="rect">
                      <a:avLst/>
                    </a:prstGeom>
                  </pic:spPr>
                </pic:pic>
              </a:graphicData>
            </a:graphic>
          </wp:inline>
        </w:drawing>
      </w:r>
    </w:p>
    <w:p w14:paraId="2AF0E1D3" w14:textId="77777777" w:rsidR="00962342" w:rsidRDefault="00000000">
      <w:pPr>
        <w:spacing w:before="60" w:after="120"/>
        <w:jc w:val="center"/>
      </w:pPr>
      <w:r>
        <w:rPr>
          <w:rFonts w:ascii="Arial" w:hAnsi="Arial"/>
          <w:i/>
          <w:sz w:val="17"/>
        </w:rPr>
        <w:t>Figure 2: Top 12 most polluted monitoring stations by annual mean PM2.5, 2024</w:t>
      </w:r>
    </w:p>
    <w:p w14:paraId="761413EC" w14:textId="77777777" w:rsidR="00962342" w:rsidRDefault="00000000">
      <w:pPr>
        <w:spacing w:after="100"/>
      </w:pPr>
      <w:r>
        <w:rPr>
          <w:rFonts w:ascii="Arial" w:hAnsi="Arial"/>
          <w:sz w:val="19"/>
        </w:rPr>
        <w:t>The top stations are concentrated in the Indo-Gangetic Plain: Agra, Delhi, Noida, and Ghaziabad. Stations such as Sanjay Palace (Agra: 158.4 µg/m³) and Anand Vihar (Delhi: 149.8 µg/m³) exceed India's 24-hour NAAQS safety limit (60 µg/m³) for over 75% to 82% of all monitored hours throughout the year.</w:t>
      </w:r>
    </w:p>
    <w:p w14:paraId="7B4D2E61" w14:textId="77777777" w:rsidR="00962342" w:rsidRDefault="00000000">
      <w:pPr>
        <w:spacing w:after="100"/>
      </w:pPr>
      <w:r>
        <w:rPr>
          <w:rFonts w:ascii="Arial" w:hAnsi="Arial"/>
          <w:sz w:val="19"/>
        </w:rPr>
        <w:t>Diurnal variation over 24 hours</w:t>
      </w:r>
    </w:p>
    <w:p w14:paraId="5AF943EF" w14:textId="77777777" w:rsidR="00962342" w:rsidRDefault="00000000">
      <w:pPr>
        <w:jc w:val="center"/>
      </w:pPr>
      <w:r>
        <w:rPr>
          <w:noProof/>
        </w:rPr>
        <w:drawing>
          <wp:inline distT="0" distB="0" distL="0" distR="0" wp14:anchorId="79FEA448" wp14:editId="38F15C56">
            <wp:extent cx="5303520" cy="22108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ig3_diurnal.png"/>
                    <pic:cNvPicPr/>
                  </pic:nvPicPr>
                  <pic:blipFill>
                    <a:blip r:embed="rId11"/>
                    <a:stretch>
                      <a:fillRect/>
                    </a:stretch>
                  </pic:blipFill>
                  <pic:spPr>
                    <a:xfrm>
                      <a:off x="0" y="0"/>
                      <a:ext cx="5303520" cy="2210853"/>
                    </a:xfrm>
                    <a:prstGeom prst="rect">
                      <a:avLst/>
                    </a:prstGeom>
                  </pic:spPr>
                </pic:pic>
              </a:graphicData>
            </a:graphic>
          </wp:inline>
        </w:drawing>
      </w:r>
    </w:p>
    <w:p w14:paraId="27B01C0A" w14:textId="77777777" w:rsidR="00962342" w:rsidRDefault="00000000">
      <w:pPr>
        <w:spacing w:before="60" w:after="120"/>
        <w:jc w:val="center"/>
      </w:pPr>
      <w:r>
        <w:rPr>
          <w:rFonts w:ascii="Arial" w:hAnsi="Arial"/>
          <w:i/>
          <w:sz w:val="17"/>
        </w:rPr>
        <w:t>Figure 3: 24-hour diurnal concentration patterns: PM2.5, NO2, and Ozone</w:t>
      </w:r>
    </w:p>
    <w:p w14:paraId="2A307AE9" w14:textId="77777777" w:rsidR="00962342" w:rsidRDefault="00000000">
      <w:pPr>
        <w:spacing w:after="100"/>
      </w:pPr>
      <w:r>
        <w:rPr>
          <w:rFonts w:ascii="Arial" w:hAnsi="Arial"/>
          <w:sz w:val="19"/>
        </w:rPr>
        <w:t>Combustion pollutants (PM2.5, NO2) follow a distinct bimodal curve, peaking during morning rush hours (08:00–10:00 IST) and late night (20:00–23:00 IST) when commercial trucks enter cities and nocturnal thermal inversions trap emissions. Midday solar heating raises boundary layer height, facilitating atmospheric dilution. In contrast, Ozone peaks between 12:00 and 15:00 IST due to solar photochemical reactions.</w:t>
      </w:r>
    </w:p>
    <w:p w14:paraId="20E7F6DE" w14:textId="77777777" w:rsidR="00962342" w:rsidRDefault="00000000">
      <w:r>
        <w:br w:type="page"/>
      </w:r>
    </w:p>
    <w:p w14:paraId="7DF65B4A" w14:textId="77777777" w:rsidR="00962342" w:rsidRDefault="00000000">
      <w:pPr>
        <w:keepNext/>
        <w:spacing w:before="240" w:after="80"/>
      </w:pPr>
      <w:r>
        <w:rPr>
          <w:rFonts w:ascii="Arial" w:hAnsi="Arial"/>
          <w:b/>
          <w:sz w:val="24"/>
        </w:rPr>
        <w:lastRenderedPageBreak/>
        <w:t>Top Hotspot Stations Summary Table :</w:t>
      </w:r>
    </w:p>
    <w:tbl>
      <w:tblPr>
        <w:tblW w:w="0" w:type="auto"/>
        <w:jc w:val="center"/>
        <w:tblLook w:val="04A0" w:firstRow="1" w:lastRow="0" w:firstColumn="1" w:lastColumn="0" w:noHBand="0" w:noVBand="1"/>
      </w:tblPr>
      <w:tblGrid>
        <w:gridCol w:w="2016"/>
        <w:gridCol w:w="2016"/>
        <w:gridCol w:w="2016"/>
        <w:gridCol w:w="2016"/>
        <w:gridCol w:w="2016"/>
      </w:tblGrid>
      <w:tr w:rsidR="00962342" w14:paraId="1400639A" w14:textId="77777777">
        <w:trPr>
          <w:jc w:val="center"/>
        </w:trPr>
        <w:tc>
          <w:tcPr>
            <w:tcW w:w="2016" w:type="dxa"/>
            <w:shd w:val="clear" w:color="auto" w:fill="1B2631"/>
          </w:tcPr>
          <w:p w14:paraId="6F19325F" w14:textId="77777777" w:rsidR="00962342" w:rsidRDefault="00000000">
            <w:r>
              <w:rPr>
                <w:rFonts w:ascii="Arial" w:hAnsi="Arial"/>
                <w:b/>
                <w:color w:val="FFFFFF"/>
                <w:sz w:val="16"/>
              </w:rPr>
              <w:t>Station Name</w:t>
            </w:r>
          </w:p>
        </w:tc>
        <w:tc>
          <w:tcPr>
            <w:tcW w:w="2016" w:type="dxa"/>
            <w:shd w:val="clear" w:color="auto" w:fill="1B2631"/>
          </w:tcPr>
          <w:p w14:paraId="34AE5688" w14:textId="77777777" w:rsidR="00962342" w:rsidRDefault="00000000">
            <w:r>
              <w:rPr>
                <w:rFonts w:ascii="Arial" w:hAnsi="Arial"/>
                <w:b/>
                <w:color w:val="FFFFFF"/>
                <w:sz w:val="16"/>
              </w:rPr>
              <w:t>City</w:t>
            </w:r>
          </w:p>
        </w:tc>
        <w:tc>
          <w:tcPr>
            <w:tcW w:w="2016" w:type="dxa"/>
            <w:shd w:val="clear" w:color="auto" w:fill="1B2631"/>
          </w:tcPr>
          <w:p w14:paraId="1F3A682A" w14:textId="77777777" w:rsidR="00962342" w:rsidRDefault="00000000">
            <w:r>
              <w:rPr>
                <w:rFonts w:ascii="Arial" w:hAnsi="Arial"/>
                <w:b/>
                <w:color w:val="FFFFFF"/>
                <w:sz w:val="16"/>
              </w:rPr>
              <w:t>Mean PM2.5</w:t>
            </w:r>
          </w:p>
        </w:tc>
        <w:tc>
          <w:tcPr>
            <w:tcW w:w="2016" w:type="dxa"/>
            <w:shd w:val="clear" w:color="auto" w:fill="1B2631"/>
          </w:tcPr>
          <w:p w14:paraId="1EBAD50C" w14:textId="77777777" w:rsidR="00962342" w:rsidRDefault="00000000">
            <w:r>
              <w:rPr>
                <w:rFonts w:ascii="Arial" w:hAnsi="Arial"/>
                <w:b/>
                <w:color w:val="FFFFFF"/>
                <w:sz w:val="16"/>
              </w:rPr>
              <w:t>Exceed %</w:t>
            </w:r>
          </w:p>
        </w:tc>
        <w:tc>
          <w:tcPr>
            <w:tcW w:w="2016" w:type="dxa"/>
            <w:shd w:val="clear" w:color="auto" w:fill="1B2631"/>
          </w:tcPr>
          <w:p w14:paraId="008BF346" w14:textId="77777777" w:rsidR="00962342" w:rsidRDefault="00000000">
            <w:r>
              <w:rPr>
                <w:rFonts w:ascii="Arial" w:hAnsi="Arial"/>
                <w:b/>
                <w:color w:val="FFFFFF"/>
                <w:sz w:val="16"/>
              </w:rPr>
              <w:t>MCHI</w:t>
            </w:r>
          </w:p>
        </w:tc>
      </w:tr>
      <w:tr w:rsidR="00962342" w14:paraId="1CF31F5D" w14:textId="77777777">
        <w:trPr>
          <w:jc w:val="center"/>
        </w:trPr>
        <w:tc>
          <w:tcPr>
            <w:tcW w:w="2016" w:type="dxa"/>
            <w:shd w:val="clear" w:color="auto" w:fill="FFFFFF"/>
          </w:tcPr>
          <w:p w14:paraId="6DF9D400" w14:textId="77777777" w:rsidR="00962342" w:rsidRDefault="00000000">
            <w:pPr>
              <w:spacing w:before="40" w:after="40"/>
            </w:pPr>
            <w:r>
              <w:rPr>
                <w:rFonts w:ascii="Arial" w:hAnsi="Arial"/>
                <w:sz w:val="16"/>
              </w:rPr>
              <w:t>Anand Vihar</w:t>
            </w:r>
          </w:p>
        </w:tc>
        <w:tc>
          <w:tcPr>
            <w:tcW w:w="2016" w:type="dxa"/>
            <w:shd w:val="clear" w:color="auto" w:fill="FFFFFF"/>
          </w:tcPr>
          <w:p w14:paraId="2446ED2A" w14:textId="77777777" w:rsidR="00962342" w:rsidRDefault="00000000">
            <w:pPr>
              <w:spacing w:before="40" w:after="40"/>
            </w:pPr>
            <w:r>
              <w:rPr>
                <w:rFonts w:ascii="Arial" w:hAnsi="Arial"/>
                <w:sz w:val="16"/>
              </w:rPr>
              <w:t>Delhi</w:t>
            </w:r>
          </w:p>
        </w:tc>
        <w:tc>
          <w:tcPr>
            <w:tcW w:w="2016" w:type="dxa"/>
            <w:shd w:val="clear" w:color="auto" w:fill="FFFFFF"/>
          </w:tcPr>
          <w:p w14:paraId="5005285E" w14:textId="77777777" w:rsidR="00962342" w:rsidRDefault="00000000">
            <w:pPr>
              <w:spacing w:before="40" w:after="40"/>
            </w:pPr>
            <w:r>
              <w:rPr>
                <w:rFonts w:ascii="Arial" w:hAnsi="Arial"/>
                <w:sz w:val="16"/>
              </w:rPr>
              <w:t>141.9 µg/m³</w:t>
            </w:r>
          </w:p>
        </w:tc>
        <w:tc>
          <w:tcPr>
            <w:tcW w:w="2016" w:type="dxa"/>
            <w:shd w:val="clear" w:color="auto" w:fill="FFFFFF"/>
          </w:tcPr>
          <w:p w14:paraId="70EA7C41" w14:textId="77777777" w:rsidR="00962342" w:rsidRDefault="00000000">
            <w:pPr>
              <w:spacing w:before="40" w:after="40"/>
            </w:pPr>
            <w:r>
              <w:rPr>
                <w:rFonts w:ascii="Arial" w:hAnsi="Arial"/>
                <w:sz w:val="16"/>
              </w:rPr>
              <w:t>72.7%</w:t>
            </w:r>
          </w:p>
        </w:tc>
        <w:tc>
          <w:tcPr>
            <w:tcW w:w="2016" w:type="dxa"/>
            <w:shd w:val="clear" w:color="auto" w:fill="FFFFFF"/>
          </w:tcPr>
          <w:p w14:paraId="6EADCF35" w14:textId="77777777" w:rsidR="00962342" w:rsidRDefault="00000000">
            <w:pPr>
              <w:spacing w:before="40" w:after="40"/>
            </w:pPr>
            <w:r>
              <w:rPr>
                <w:rFonts w:ascii="Arial" w:hAnsi="Arial"/>
                <w:sz w:val="16"/>
              </w:rPr>
              <w:t>78.5</w:t>
            </w:r>
          </w:p>
        </w:tc>
      </w:tr>
      <w:tr w:rsidR="00962342" w14:paraId="50DCE013" w14:textId="77777777">
        <w:trPr>
          <w:jc w:val="center"/>
        </w:trPr>
        <w:tc>
          <w:tcPr>
            <w:tcW w:w="2016" w:type="dxa"/>
            <w:shd w:val="clear" w:color="auto" w:fill="F8F9F9"/>
          </w:tcPr>
          <w:p w14:paraId="3606F70C" w14:textId="77777777" w:rsidR="00962342" w:rsidRDefault="00000000">
            <w:pPr>
              <w:spacing w:before="40" w:after="40"/>
            </w:pPr>
            <w:r>
              <w:rPr>
                <w:rFonts w:ascii="Arial" w:hAnsi="Arial"/>
                <w:sz w:val="16"/>
              </w:rPr>
              <w:t>Shadipur</w:t>
            </w:r>
          </w:p>
        </w:tc>
        <w:tc>
          <w:tcPr>
            <w:tcW w:w="2016" w:type="dxa"/>
            <w:shd w:val="clear" w:color="auto" w:fill="F8F9F9"/>
          </w:tcPr>
          <w:p w14:paraId="44404D0B" w14:textId="77777777" w:rsidR="00962342" w:rsidRDefault="00000000">
            <w:pPr>
              <w:spacing w:before="40" w:after="40"/>
            </w:pPr>
            <w:r>
              <w:rPr>
                <w:rFonts w:ascii="Arial" w:hAnsi="Arial"/>
                <w:sz w:val="16"/>
              </w:rPr>
              <w:t>Delhi</w:t>
            </w:r>
          </w:p>
        </w:tc>
        <w:tc>
          <w:tcPr>
            <w:tcW w:w="2016" w:type="dxa"/>
            <w:shd w:val="clear" w:color="auto" w:fill="F8F9F9"/>
          </w:tcPr>
          <w:p w14:paraId="71D875FC" w14:textId="77777777" w:rsidR="00962342" w:rsidRDefault="00000000">
            <w:pPr>
              <w:spacing w:before="40" w:after="40"/>
            </w:pPr>
            <w:r>
              <w:rPr>
                <w:rFonts w:ascii="Arial" w:hAnsi="Arial"/>
                <w:sz w:val="16"/>
              </w:rPr>
              <w:t>125.8 µg/m³</w:t>
            </w:r>
          </w:p>
        </w:tc>
        <w:tc>
          <w:tcPr>
            <w:tcW w:w="2016" w:type="dxa"/>
            <w:shd w:val="clear" w:color="auto" w:fill="F8F9F9"/>
          </w:tcPr>
          <w:p w14:paraId="18334055" w14:textId="77777777" w:rsidR="00962342" w:rsidRDefault="00000000">
            <w:pPr>
              <w:spacing w:before="40" w:after="40"/>
            </w:pPr>
            <w:r>
              <w:rPr>
                <w:rFonts w:ascii="Arial" w:hAnsi="Arial"/>
                <w:sz w:val="16"/>
              </w:rPr>
              <w:t>70.5%</w:t>
            </w:r>
          </w:p>
        </w:tc>
        <w:tc>
          <w:tcPr>
            <w:tcW w:w="2016" w:type="dxa"/>
            <w:shd w:val="clear" w:color="auto" w:fill="F8F9F9"/>
          </w:tcPr>
          <w:p w14:paraId="0137B30E" w14:textId="77777777" w:rsidR="00962342" w:rsidRDefault="00000000">
            <w:pPr>
              <w:spacing w:before="40" w:after="40"/>
            </w:pPr>
            <w:r>
              <w:rPr>
                <w:rFonts w:ascii="Arial" w:hAnsi="Arial"/>
                <w:sz w:val="16"/>
              </w:rPr>
              <w:t>73.1</w:t>
            </w:r>
          </w:p>
        </w:tc>
      </w:tr>
      <w:tr w:rsidR="00962342" w14:paraId="67C2C2B5" w14:textId="77777777">
        <w:trPr>
          <w:jc w:val="center"/>
        </w:trPr>
        <w:tc>
          <w:tcPr>
            <w:tcW w:w="2016" w:type="dxa"/>
            <w:shd w:val="clear" w:color="auto" w:fill="FFFFFF"/>
          </w:tcPr>
          <w:p w14:paraId="448D1763" w14:textId="77777777" w:rsidR="00962342" w:rsidRDefault="00000000">
            <w:pPr>
              <w:spacing w:before="40" w:after="40"/>
            </w:pPr>
            <w:r>
              <w:rPr>
                <w:rFonts w:ascii="Arial" w:hAnsi="Arial"/>
                <w:sz w:val="16"/>
              </w:rPr>
              <w:t>Jahangirpuri</w:t>
            </w:r>
          </w:p>
        </w:tc>
        <w:tc>
          <w:tcPr>
            <w:tcW w:w="2016" w:type="dxa"/>
            <w:shd w:val="clear" w:color="auto" w:fill="FFFFFF"/>
          </w:tcPr>
          <w:p w14:paraId="73C71823" w14:textId="77777777" w:rsidR="00962342" w:rsidRDefault="00000000">
            <w:pPr>
              <w:spacing w:before="40" w:after="40"/>
            </w:pPr>
            <w:r>
              <w:rPr>
                <w:rFonts w:ascii="Arial" w:hAnsi="Arial"/>
                <w:sz w:val="16"/>
              </w:rPr>
              <w:t>Delhi</w:t>
            </w:r>
          </w:p>
        </w:tc>
        <w:tc>
          <w:tcPr>
            <w:tcW w:w="2016" w:type="dxa"/>
            <w:shd w:val="clear" w:color="auto" w:fill="FFFFFF"/>
          </w:tcPr>
          <w:p w14:paraId="37F5FB7D" w14:textId="77777777" w:rsidR="00962342" w:rsidRDefault="00000000">
            <w:pPr>
              <w:spacing w:before="40" w:after="40"/>
            </w:pPr>
            <w:r>
              <w:rPr>
                <w:rFonts w:ascii="Arial" w:hAnsi="Arial"/>
                <w:sz w:val="16"/>
              </w:rPr>
              <w:t>130.4 µg/m³</w:t>
            </w:r>
          </w:p>
        </w:tc>
        <w:tc>
          <w:tcPr>
            <w:tcW w:w="2016" w:type="dxa"/>
            <w:shd w:val="clear" w:color="auto" w:fill="FFFFFF"/>
          </w:tcPr>
          <w:p w14:paraId="72BDBF27" w14:textId="77777777" w:rsidR="00962342" w:rsidRDefault="00000000">
            <w:pPr>
              <w:spacing w:before="40" w:after="40"/>
            </w:pPr>
            <w:r>
              <w:rPr>
                <w:rFonts w:ascii="Arial" w:hAnsi="Arial"/>
                <w:sz w:val="16"/>
              </w:rPr>
              <w:t>65.5%</w:t>
            </w:r>
          </w:p>
        </w:tc>
        <w:tc>
          <w:tcPr>
            <w:tcW w:w="2016" w:type="dxa"/>
            <w:shd w:val="clear" w:color="auto" w:fill="FFFFFF"/>
          </w:tcPr>
          <w:p w14:paraId="745B25B7" w14:textId="77777777" w:rsidR="00962342" w:rsidRDefault="00000000">
            <w:pPr>
              <w:spacing w:before="40" w:after="40"/>
            </w:pPr>
            <w:r>
              <w:rPr>
                <w:rFonts w:ascii="Arial" w:hAnsi="Arial"/>
                <w:sz w:val="16"/>
              </w:rPr>
              <w:t>72.4</w:t>
            </w:r>
          </w:p>
        </w:tc>
      </w:tr>
      <w:tr w:rsidR="00962342" w14:paraId="751BE9A2" w14:textId="77777777">
        <w:trPr>
          <w:jc w:val="center"/>
        </w:trPr>
        <w:tc>
          <w:tcPr>
            <w:tcW w:w="2016" w:type="dxa"/>
            <w:shd w:val="clear" w:color="auto" w:fill="F8F9F9"/>
          </w:tcPr>
          <w:p w14:paraId="35B482E1" w14:textId="77777777" w:rsidR="00962342" w:rsidRDefault="00000000">
            <w:pPr>
              <w:spacing w:before="40" w:after="40"/>
            </w:pPr>
            <w:r>
              <w:rPr>
                <w:rFonts w:ascii="Arial" w:hAnsi="Arial"/>
                <w:sz w:val="16"/>
              </w:rPr>
              <w:t>Central Academy, Byrnihat</w:t>
            </w:r>
          </w:p>
        </w:tc>
        <w:tc>
          <w:tcPr>
            <w:tcW w:w="2016" w:type="dxa"/>
            <w:shd w:val="clear" w:color="auto" w:fill="F8F9F9"/>
          </w:tcPr>
          <w:p w14:paraId="690DC582" w14:textId="77777777" w:rsidR="00962342" w:rsidRDefault="00000000">
            <w:pPr>
              <w:spacing w:before="40" w:after="40"/>
            </w:pPr>
            <w:r>
              <w:rPr>
                <w:rFonts w:ascii="Arial" w:hAnsi="Arial"/>
                <w:sz w:val="16"/>
              </w:rPr>
              <w:t>Byrnihat</w:t>
            </w:r>
          </w:p>
        </w:tc>
        <w:tc>
          <w:tcPr>
            <w:tcW w:w="2016" w:type="dxa"/>
            <w:shd w:val="clear" w:color="auto" w:fill="F8F9F9"/>
          </w:tcPr>
          <w:p w14:paraId="505EE8EA" w14:textId="77777777" w:rsidR="00962342" w:rsidRDefault="00000000">
            <w:pPr>
              <w:spacing w:before="40" w:after="40"/>
            </w:pPr>
            <w:r>
              <w:rPr>
                <w:rFonts w:ascii="Arial" w:hAnsi="Arial"/>
                <w:sz w:val="16"/>
              </w:rPr>
              <w:t>128.7 µg/m³</w:t>
            </w:r>
          </w:p>
        </w:tc>
        <w:tc>
          <w:tcPr>
            <w:tcW w:w="2016" w:type="dxa"/>
            <w:shd w:val="clear" w:color="auto" w:fill="F8F9F9"/>
          </w:tcPr>
          <w:p w14:paraId="641A26EE" w14:textId="77777777" w:rsidR="00962342" w:rsidRDefault="00000000">
            <w:pPr>
              <w:spacing w:before="40" w:after="40"/>
            </w:pPr>
            <w:r>
              <w:rPr>
                <w:rFonts w:ascii="Arial" w:hAnsi="Arial"/>
                <w:sz w:val="16"/>
              </w:rPr>
              <w:t>64.6%</w:t>
            </w:r>
          </w:p>
        </w:tc>
        <w:tc>
          <w:tcPr>
            <w:tcW w:w="2016" w:type="dxa"/>
            <w:shd w:val="clear" w:color="auto" w:fill="F8F9F9"/>
          </w:tcPr>
          <w:p w14:paraId="5A547511" w14:textId="77777777" w:rsidR="00962342" w:rsidRDefault="00000000">
            <w:pPr>
              <w:spacing w:before="40" w:after="40"/>
            </w:pPr>
            <w:r>
              <w:rPr>
                <w:rFonts w:ascii="Arial" w:hAnsi="Arial"/>
                <w:sz w:val="16"/>
              </w:rPr>
              <w:t>71.6</w:t>
            </w:r>
          </w:p>
        </w:tc>
      </w:tr>
      <w:tr w:rsidR="00962342" w14:paraId="56CDD448" w14:textId="77777777">
        <w:trPr>
          <w:jc w:val="center"/>
        </w:trPr>
        <w:tc>
          <w:tcPr>
            <w:tcW w:w="2016" w:type="dxa"/>
            <w:shd w:val="clear" w:color="auto" w:fill="FFFFFF"/>
          </w:tcPr>
          <w:p w14:paraId="4ADEF199" w14:textId="77777777" w:rsidR="00962342" w:rsidRDefault="00000000">
            <w:pPr>
              <w:spacing w:before="40" w:after="40"/>
            </w:pPr>
            <w:r>
              <w:rPr>
                <w:rFonts w:ascii="Arial" w:hAnsi="Arial"/>
                <w:sz w:val="16"/>
              </w:rPr>
              <w:t>Wazirpur</w:t>
            </w:r>
          </w:p>
        </w:tc>
        <w:tc>
          <w:tcPr>
            <w:tcW w:w="2016" w:type="dxa"/>
            <w:shd w:val="clear" w:color="auto" w:fill="FFFFFF"/>
          </w:tcPr>
          <w:p w14:paraId="65E75D43" w14:textId="77777777" w:rsidR="00962342" w:rsidRDefault="00000000">
            <w:pPr>
              <w:spacing w:before="40" w:after="40"/>
            </w:pPr>
            <w:r>
              <w:rPr>
                <w:rFonts w:ascii="Arial" w:hAnsi="Arial"/>
                <w:sz w:val="16"/>
              </w:rPr>
              <w:t>Delhi</w:t>
            </w:r>
          </w:p>
        </w:tc>
        <w:tc>
          <w:tcPr>
            <w:tcW w:w="2016" w:type="dxa"/>
            <w:shd w:val="clear" w:color="auto" w:fill="FFFFFF"/>
          </w:tcPr>
          <w:p w14:paraId="77F1B5A5" w14:textId="77777777" w:rsidR="00962342" w:rsidRDefault="00000000">
            <w:pPr>
              <w:spacing w:before="40" w:after="40"/>
            </w:pPr>
            <w:r>
              <w:rPr>
                <w:rFonts w:ascii="Arial" w:hAnsi="Arial"/>
                <w:sz w:val="16"/>
              </w:rPr>
              <w:t>125.7 µg/m³</w:t>
            </w:r>
          </w:p>
        </w:tc>
        <w:tc>
          <w:tcPr>
            <w:tcW w:w="2016" w:type="dxa"/>
            <w:shd w:val="clear" w:color="auto" w:fill="FFFFFF"/>
          </w:tcPr>
          <w:p w14:paraId="0ED260C6" w14:textId="77777777" w:rsidR="00962342" w:rsidRDefault="00000000">
            <w:pPr>
              <w:spacing w:before="40" w:after="40"/>
            </w:pPr>
            <w:r>
              <w:rPr>
                <w:rFonts w:ascii="Arial" w:hAnsi="Arial"/>
                <w:sz w:val="16"/>
              </w:rPr>
              <w:t>63.3%</w:t>
            </w:r>
          </w:p>
        </w:tc>
        <w:tc>
          <w:tcPr>
            <w:tcW w:w="2016" w:type="dxa"/>
            <w:shd w:val="clear" w:color="auto" w:fill="FFFFFF"/>
          </w:tcPr>
          <w:p w14:paraId="37D739B6" w14:textId="77777777" w:rsidR="00962342" w:rsidRDefault="00000000">
            <w:pPr>
              <w:spacing w:before="40" w:after="40"/>
            </w:pPr>
            <w:r>
              <w:rPr>
                <w:rFonts w:ascii="Arial" w:hAnsi="Arial"/>
                <w:sz w:val="16"/>
              </w:rPr>
              <w:t>70.3</w:t>
            </w:r>
          </w:p>
        </w:tc>
      </w:tr>
      <w:tr w:rsidR="00962342" w14:paraId="6E8222C7" w14:textId="77777777">
        <w:trPr>
          <w:jc w:val="center"/>
        </w:trPr>
        <w:tc>
          <w:tcPr>
            <w:tcW w:w="2016" w:type="dxa"/>
            <w:shd w:val="clear" w:color="auto" w:fill="F8F9F9"/>
          </w:tcPr>
          <w:p w14:paraId="3155ADD7" w14:textId="77777777" w:rsidR="00962342" w:rsidRDefault="00000000">
            <w:pPr>
              <w:spacing w:before="40" w:after="40"/>
            </w:pPr>
            <w:r>
              <w:rPr>
                <w:rFonts w:ascii="Arial" w:hAnsi="Arial"/>
                <w:sz w:val="16"/>
              </w:rPr>
              <w:t>Bawana</w:t>
            </w:r>
          </w:p>
        </w:tc>
        <w:tc>
          <w:tcPr>
            <w:tcW w:w="2016" w:type="dxa"/>
            <w:shd w:val="clear" w:color="auto" w:fill="F8F9F9"/>
          </w:tcPr>
          <w:p w14:paraId="3EFAE939" w14:textId="77777777" w:rsidR="00962342" w:rsidRDefault="00000000">
            <w:pPr>
              <w:spacing w:before="40" w:after="40"/>
            </w:pPr>
            <w:r>
              <w:rPr>
                <w:rFonts w:ascii="Arial" w:hAnsi="Arial"/>
                <w:sz w:val="16"/>
              </w:rPr>
              <w:t>Delhi</w:t>
            </w:r>
          </w:p>
        </w:tc>
        <w:tc>
          <w:tcPr>
            <w:tcW w:w="2016" w:type="dxa"/>
            <w:shd w:val="clear" w:color="auto" w:fill="F8F9F9"/>
          </w:tcPr>
          <w:p w14:paraId="3AD1FA90" w14:textId="77777777" w:rsidR="00962342" w:rsidRDefault="00000000">
            <w:pPr>
              <w:spacing w:before="40" w:after="40"/>
            </w:pPr>
            <w:r>
              <w:rPr>
                <w:rFonts w:ascii="Arial" w:hAnsi="Arial"/>
                <w:sz w:val="16"/>
              </w:rPr>
              <w:t>125.1 µg/m³</w:t>
            </w:r>
          </w:p>
        </w:tc>
        <w:tc>
          <w:tcPr>
            <w:tcW w:w="2016" w:type="dxa"/>
            <w:shd w:val="clear" w:color="auto" w:fill="F8F9F9"/>
          </w:tcPr>
          <w:p w14:paraId="24862B66" w14:textId="77777777" w:rsidR="00962342" w:rsidRDefault="00000000">
            <w:pPr>
              <w:spacing w:before="40" w:after="40"/>
            </w:pPr>
            <w:r>
              <w:rPr>
                <w:rFonts w:ascii="Arial" w:hAnsi="Arial"/>
                <w:sz w:val="16"/>
              </w:rPr>
              <w:t>63.9%</w:t>
            </w:r>
          </w:p>
        </w:tc>
        <w:tc>
          <w:tcPr>
            <w:tcW w:w="2016" w:type="dxa"/>
            <w:shd w:val="clear" w:color="auto" w:fill="F8F9F9"/>
          </w:tcPr>
          <w:p w14:paraId="4A3BADAA" w14:textId="77777777" w:rsidR="00962342" w:rsidRDefault="00000000">
            <w:pPr>
              <w:spacing w:before="40" w:after="40"/>
            </w:pPr>
            <w:r>
              <w:rPr>
                <w:rFonts w:ascii="Arial" w:hAnsi="Arial"/>
                <w:sz w:val="16"/>
              </w:rPr>
              <w:t>70.3</w:t>
            </w:r>
          </w:p>
        </w:tc>
      </w:tr>
    </w:tbl>
    <w:p w14:paraId="117D2C33" w14:textId="77777777" w:rsidR="00962342" w:rsidRDefault="00000000">
      <w:pPr>
        <w:spacing w:after="40"/>
      </w:pPr>
      <w:r>
        <w:rPr>
          <w:rFonts w:ascii="Arial" w:hAnsi="Arial"/>
          <w:sz w:val="19"/>
        </w:rPr>
        <w:t>Seasonal shifts and monsoon scavenging</w:t>
      </w:r>
    </w:p>
    <w:p w14:paraId="0A155668" w14:textId="77777777" w:rsidR="00962342" w:rsidRDefault="00000000">
      <w:pPr>
        <w:jc w:val="center"/>
      </w:pPr>
      <w:r>
        <w:rPr>
          <w:noProof/>
        </w:rPr>
        <w:drawing>
          <wp:inline distT="0" distB="0" distL="0" distR="0" wp14:anchorId="1E702496" wp14:editId="4F38640F">
            <wp:extent cx="5120640" cy="21346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ig4_seasonal.png"/>
                    <pic:cNvPicPr/>
                  </pic:nvPicPr>
                  <pic:blipFill>
                    <a:blip r:embed="rId12"/>
                    <a:stretch>
                      <a:fillRect/>
                    </a:stretch>
                  </pic:blipFill>
                  <pic:spPr>
                    <a:xfrm>
                      <a:off x="0" y="0"/>
                      <a:ext cx="5120640" cy="2134617"/>
                    </a:xfrm>
                    <a:prstGeom prst="rect">
                      <a:avLst/>
                    </a:prstGeom>
                  </pic:spPr>
                </pic:pic>
              </a:graphicData>
            </a:graphic>
          </wp:inline>
        </w:drawing>
      </w:r>
    </w:p>
    <w:p w14:paraId="6FA077E5" w14:textId="77777777" w:rsidR="00962342" w:rsidRDefault="00000000">
      <w:pPr>
        <w:spacing w:before="60" w:after="120"/>
        <w:jc w:val="center"/>
      </w:pPr>
      <w:r>
        <w:rPr>
          <w:rFonts w:ascii="Arial" w:hAnsi="Arial"/>
          <w:i/>
          <w:sz w:val="17"/>
        </w:rPr>
        <w:t>Figure 4: Seasonal PM2.5 variation across major Indian cities</w:t>
      </w:r>
    </w:p>
    <w:p w14:paraId="7A247B28" w14:textId="77777777" w:rsidR="00962342" w:rsidRDefault="00000000">
      <w:pPr>
        <w:spacing w:after="100"/>
      </w:pPr>
      <w:r>
        <w:rPr>
          <w:rFonts w:ascii="Arial" w:hAnsi="Arial"/>
          <w:sz w:val="19"/>
        </w:rPr>
        <w:t>Monsoon precipitation induces wet scavenging (washout), reducing PM2.5 by 65% to 75% nationwide (dropping to 20–35 µg/m³). From October onwards, atmospheric stagnation, calm winds, and drop in temperature cause severe winter smog episodes exceeding 180 µg/m³ across northern India.</w:t>
      </w:r>
    </w:p>
    <w:p w14:paraId="6495AE2E" w14:textId="77777777" w:rsidR="00962342" w:rsidRDefault="00000000">
      <w:pPr>
        <w:spacing w:after="40"/>
      </w:pPr>
      <w:r>
        <w:rPr>
          <w:rFonts w:ascii="Arial" w:hAnsi="Arial"/>
          <w:sz w:val="19"/>
        </w:rPr>
        <w:t>Inter-pollutant correlation analysis</w:t>
      </w:r>
    </w:p>
    <w:p w14:paraId="5D481644" w14:textId="77777777" w:rsidR="00962342" w:rsidRDefault="00000000">
      <w:pPr>
        <w:jc w:val="center"/>
      </w:pPr>
      <w:r>
        <w:rPr>
          <w:noProof/>
        </w:rPr>
        <w:lastRenderedPageBreak/>
        <w:drawing>
          <wp:inline distT="0" distB="0" distL="0" distR="0" wp14:anchorId="41637DEC" wp14:editId="20E2A4D9">
            <wp:extent cx="4206240" cy="35476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ig5_correlation.png"/>
                    <pic:cNvPicPr/>
                  </pic:nvPicPr>
                  <pic:blipFill>
                    <a:blip r:embed="rId13"/>
                    <a:stretch>
                      <a:fillRect/>
                    </a:stretch>
                  </pic:blipFill>
                  <pic:spPr>
                    <a:xfrm>
                      <a:off x="0" y="0"/>
                      <a:ext cx="4206240" cy="3547651"/>
                    </a:xfrm>
                    <a:prstGeom prst="rect">
                      <a:avLst/>
                    </a:prstGeom>
                  </pic:spPr>
                </pic:pic>
              </a:graphicData>
            </a:graphic>
          </wp:inline>
        </w:drawing>
      </w:r>
    </w:p>
    <w:p w14:paraId="318B1CB3" w14:textId="77777777" w:rsidR="00962342" w:rsidRDefault="00000000">
      <w:pPr>
        <w:spacing w:before="60" w:after="120"/>
        <w:jc w:val="center"/>
      </w:pPr>
      <w:r>
        <w:rPr>
          <w:rFonts w:ascii="Arial" w:hAnsi="Arial"/>
          <w:i/>
          <w:sz w:val="17"/>
        </w:rPr>
        <w:t>Figure 5: Pearson correlation matrix between atmospheric pollutants</w:t>
      </w:r>
    </w:p>
    <w:p w14:paraId="40D8CB61" w14:textId="77777777" w:rsidR="00962342" w:rsidRDefault="00000000">
      <w:pPr>
        <w:spacing w:after="100"/>
      </w:pPr>
      <w:r>
        <w:rPr>
          <w:rFonts w:ascii="Arial" w:hAnsi="Arial"/>
          <w:sz w:val="19"/>
        </w:rPr>
        <w:t>Strong positive correlation (r=0.88) between PM2.5 and PM10 reflects co-emission from combustion and dust; moderate NO2 correlation (r=0.54) corroborates vehicular exhaust impact; negative nighttime Ozone correlation confirms NOx titration.</w:t>
      </w:r>
    </w:p>
    <w:p w14:paraId="57FF2599" w14:textId="77777777" w:rsidR="00962342" w:rsidRDefault="00000000">
      <w:r>
        <w:br w:type="page"/>
      </w:r>
    </w:p>
    <w:p w14:paraId="725244DB" w14:textId="77777777" w:rsidR="00962342" w:rsidRDefault="00000000">
      <w:pPr>
        <w:keepNext/>
        <w:spacing w:before="240" w:after="80"/>
      </w:pPr>
      <w:r>
        <w:rPr>
          <w:rFonts w:ascii="Arial" w:hAnsi="Arial"/>
          <w:b/>
          <w:sz w:val="24"/>
        </w:rPr>
        <w:lastRenderedPageBreak/>
        <w:t>Short-Term PM2.5 Forecasting Experiment :</w:t>
      </w:r>
    </w:p>
    <w:p w14:paraId="59288370" w14:textId="77777777" w:rsidR="00962342" w:rsidRDefault="00000000">
      <w:pPr>
        <w:spacing w:after="100"/>
      </w:pPr>
      <w:r>
        <w:rPr>
          <w:rFonts w:ascii="Arial" w:hAnsi="Arial"/>
          <w:sz w:val="19"/>
        </w:rPr>
        <w:t>To test predictive feasibility, we trained models on Delhi NCR hourly readings (Jan–Sep train, Oct–Dec holdout test, 2,208 hours). Features include lags (t-1..t-24), 24h rolling mean/std, and cyclic trigonometric time encodings.</w:t>
      </w:r>
    </w:p>
    <w:p w14:paraId="02473F86" w14:textId="77777777" w:rsidR="00962342" w:rsidRDefault="00000000">
      <w:pPr>
        <w:jc w:val="center"/>
      </w:pPr>
      <w:r>
        <w:rPr>
          <w:noProof/>
        </w:rPr>
        <w:drawing>
          <wp:inline distT="0" distB="0" distL="0" distR="0" wp14:anchorId="31DAD1B4" wp14:editId="32ABBB10">
            <wp:extent cx="5303520" cy="22108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ig6_forecast.png"/>
                    <pic:cNvPicPr/>
                  </pic:nvPicPr>
                  <pic:blipFill>
                    <a:blip r:embed="rId14"/>
                    <a:stretch>
                      <a:fillRect/>
                    </a:stretch>
                  </pic:blipFill>
                  <pic:spPr>
                    <a:xfrm>
                      <a:off x="0" y="0"/>
                      <a:ext cx="5303520" cy="2210853"/>
                    </a:xfrm>
                    <a:prstGeom prst="rect">
                      <a:avLst/>
                    </a:prstGeom>
                  </pic:spPr>
                </pic:pic>
              </a:graphicData>
            </a:graphic>
          </wp:inline>
        </w:drawing>
      </w:r>
    </w:p>
    <w:p w14:paraId="025CB75F" w14:textId="77777777" w:rsidR="00962342" w:rsidRDefault="00000000">
      <w:pPr>
        <w:spacing w:before="60" w:after="120"/>
        <w:jc w:val="center"/>
      </w:pPr>
      <w:r>
        <w:rPr>
          <w:rFonts w:ascii="Arial" w:hAnsi="Arial"/>
          <w:i/>
          <w:sz w:val="17"/>
        </w:rPr>
        <w:t>Figure 6: PM2.5 1-hour ahead forecast evaluation vs actual measurements (Delhi holdout test)</w:t>
      </w:r>
    </w:p>
    <w:p w14:paraId="39F37A20" w14:textId="77777777" w:rsidR="00962342" w:rsidRDefault="00000000">
      <w:pPr>
        <w:spacing w:after="100"/>
      </w:pPr>
      <w:r>
        <w:rPr>
          <w:rFonts w:ascii="Arial" w:hAnsi="Arial"/>
          <w:sz w:val="19"/>
        </w:rPr>
        <w:t>Autoregressive Ridge Regression achieved R² = 0.985 with an MAE of 9.17 µg/m³, outperforming the persistence baseline (R² = 0.960, MAE = 12.84). Gradient Boosting (R² = 0.899) underperformed because decision trees cannot extrapolate beyond the training target ceiling to unprecedented winter peaks. However, forecasting beyond 24 hours without numerical weather inputs degrades rapidly (R² &lt; 0.35).</w:t>
      </w:r>
    </w:p>
    <w:p w14:paraId="4CA0FA75" w14:textId="77777777" w:rsidR="00962342" w:rsidRDefault="00000000">
      <w:pPr>
        <w:keepNext/>
        <w:spacing w:before="240" w:after="80"/>
      </w:pPr>
      <w:r>
        <w:rPr>
          <w:rFonts w:ascii="Arial" w:hAnsi="Arial"/>
          <w:b/>
          <w:sz w:val="24"/>
        </w:rPr>
        <w:t>Dashboard :</w:t>
      </w:r>
    </w:p>
    <w:p w14:paraId="56B52EB9" w14:textId="77777777" w:rsidR="00962342" w:rsidRDefault="00000000">
      <w:pPr>
        <w:jc w:val="center"/>
      </w:pPr>
      <w:r>
        <w:rPr>
          <w:noProof/>
        </w:rPr>
        <w:drawing>
          <wp:inline distT="0" distB="0" distL="0" distR="0" wp14:anchorId="01341208" wp14:editId="45A47FBE">
            <wp:extent cx="5303520" cy="24442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ig7_dashboard_overview.png"/>
                    <pic:cNvPicPr/>
                  </pic:nvPicPr>
                  <pic:blipFill>
                    <a:blip r:embed="rId15"/>
                    <a:stretch>
                      <a:fillRect/>
                    </a:stretch>
                  </pic:blipFill>
                  <pic:spPr>
                    <a:xfrm>
                      <a:off x="0" y="0"/>
                      <a:ext cx="5303520" cy="2444293"/>
                    </a:xfrm>
                    <a:prstGeom prst="rect">
                      <a:avLst/>
                    </a:prstGeom>
                  </pic:spPr>
                </pic:pic>
              </a:graphicData>
            </a:graphic>
          </wp:inline>
        </w:drawing>
      </w:r>
    </w:p>
    <w:p w14:paraId="7FCE4F56" w14:textId="77777777" w:rsidR="00962342" w:rsidRDefault="00000000">
      <w:pPr>
        <w:spacing w:before="60" w:after="120"/>
        <w:jc w:val="center"/>
      </w:pPr>
      <w:r>
        <w:rPr>
          <w:rFonts w:ascii="Arial" w:hAnsi="Arial"/>
          <w:i/>
          <w:sz w:val="17"/>
        </w:rPr>
        <w:t>Figure 7: Streamlit dashboard: summary metrics and executive overview</w:t>
      </w:r>
    </w:p>
    <w:p w14:paraId="28C6982B" w14:textId="77777777" w:rsidR="00962342" w:rsidRDefault="00000000">
      <w:r>
        <w:br w:type="page"/>
      </w:r>
    </w:p>
    <w:p w14:paraId="65C88242" w14:textId="77777777" w:rsidR="00962342" w:rsidRDefault="00000000">
      <w:pPr>
        <w:jc w:val="center"/>
      </w:pPr>
      <w:r>
        <w:rPr>
          <w:noProof/>
        </w:rPr>
        <w:lastRenderedPageBreak/>
        <w:drawing>
          <wp:inline distT="0" distB="0" distL="0" distR="0" wp14:anchorId="52C576C3" wp14:editId="7C69FADE">
            <wp:extent cx="5303520" cy="14525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ig8_dashboard_map.png"/>
                    <pic:cNvPicPr/>
                  </pic:nvPicPr>
                  <pic:blipFill>
                    <a:blip r:embed="rId16"/>
                    <a:stretch>
                      <a:fillRect/>
                    </a:stretch>
                  </pic:blipFill>
                  <pic:spPr>
                    <a:xfrm>
                      <a:off x="0" y="0"/>
                      <a:ext cx="5303520" cy="1452525"/>
                    </a:xfrm>
                    <a:prstGeom prst="rect">
                      <a:avLst/>
                    </a:prstGeom>
                  </pic:spPr>
                </pic:pic>
              </a:graphicData>
            </a:graphic>
          </wp:inline>
        </w:drawing>
      </w:r>
    </w:p>
    <w:p w14:paraId="583A199B" w14:textId="77777777" w:rsidR="00962342" w:rsidRDefault="00000000">
      <w:pPr>
        <w:spacing w:before="60" w:after="120"/>
        <w:jc w:val="center"/>
      </w:pPr>
      <w:r>
        <w:rPr>
          <w:rFonts w:ascii="Arial" w:hAnsi="Arial"/>
          <w:i/>
          <w:sz w:val="17"/>
        </w:rPr>
        <w:t>Figure 8: Streamlit dashboard: interactive geospatial hotspot map and spike metrics</w:t>
      </w:r>
    </w:p>
    <w:p w14:paraId="47F54446" w14:textId="77777777" w:rsidR="00962342" w:rsidRDefault="00000000">
      <w:pPr>
        <w:keepNext/>
        <w:spacing w:before="240" w:after="80"/>
      </w:pPr>
      <w:r>
        <w:rPr>
          <w:rFonts w:ascii="Arial" w:hAnsi="Arial"/>
          <w:b/>
          <w:sz w:val="24"/>
        </w:rPr>
        <w:t>Conclusion :</w:t>
      </w:r>
    </w:p>
    <w:p w14:paraId="2748F9AA" w14:textId="77777777" w:rsidR="00962342" w:rsidRDefault="00000000">
      <w:pPr>
        <w:spacing w:after="100"/>
      </w:pPr>
      <w:r>
        <w:rPr>
          <w:rFonts w:ascii="Arial" w:hAnsi="Arial"/>
          <w:sz w:val="19"/>
        </w:rPr>
        <w:t>This project demonstrates a complete Big Data Analytics application built on Apache Spark. It processed 46,937,170 real-world observation rows on a single laptop using distributed parallel execution, cleaned them down to 46,937,146 physically valid rows (100.00% retention), and produced clear insights: the Indo-Gangetic Plain suffers from chronic regulatory non-attainment, diurnal cycles follow traffic and nocturnal inversions, and monsoon rainfall washes out over 65% of particulate matter nationwide. The work covers core syllabus topics: Apache Spark and Spark SQL, Hive-style Parquet columnar storage, multi-criteria spatial ranking, machine learning time-series baselines, and Big Data visualization.</w:t>
      </w:r>
    </w:p>
    <w:p w14:paraId="359EA621" w14:textId="77777777" w:rsidR="00962342" w:rsidRDefault="00000000">
      <w:pPr>
        <w:keepNext/>
        <w:spacing w:before="240" w:after="80"/>
      </w:pPr>
      <w:r>
        <w:rPr>
          <w:rFonts w:ascii="Arial" w:hAnsi="Arial"/>
          <w:b/>
          <w:sz w:val="24"/>
        </w:rPr>
        <w:t>References :</w:t>
      </w:r>
    </w:p>
    <w:p w14:paraId="225822BF" w14:textId="77777777" w:rsidR="00962342" w:rsidRDefault="00000000">
      <w:pPr>
        <w:spacing w:after="40"/>
      </w:pPr>
      <w:r>
        <w:rPr>
          <w:rFonts w:ascii="Arial" w:hAnsi="Arial"/>
          <w:sz w:val="19"/>
        </w:rPr>
        <w:t>1. XKDR Forum, “India Air Quality Database &amp; API”, airquality.xkdr.org.</w:t>
      </w:r>
    </w:p>
    <w:p w14:paraId="2A39BC4D" w14:textId="77777777" w:rsidR="00962342" w:rsidRDefault="00000000">
      <w:pPr>
        <w:spacing w:after="40"/>
      </w:pPr>
      <w:r>
        <w:rPr>
          <w:rFonts w:ascii="Arial" w:hAnsi="Arial"/>
          <w:sz w:val="19"/>
        </w:rPr>
        <w:t>2. Central Pollution Control Board (CPCB), “National Ambient Air Quality Standards”, New Delhi, 2009.</w:t>
      </w:r>
    </w:p>
    <w:p w14:paraId="03F99152" w14:textId="77777777" w:rsidR="00962342" w:rsidRDefault="00000000">
      <w:pPr>
        <w:spacing w:after="40"/>
      </w:pPr>
      <w:r>
        <w:rPr>
          <w:rFonts w:ascii="Arial" w:hAnsi="Arial"/>
          <w:sz w:val="19"/>
        </w:rPr>
        <w:t>3. Apache Spark 3.5 Documentation, spark.apache.org/docs/latest.</w:t>
      </w:r>
    </w:p>
    <w:p w14:paraId="1848A4DF" w14:textId="77777777" w:rsidR="00962342" w:rsidRDefault="00000000">
      <w:pPr>
        <w:spacing w:after="40"/>
      </w:pPr>
      <w:r>
        <w:rPr>
          <w:rFonts w:ascii="Arial" w:hAnsi="Arial"/>
          <w:sz w:val="19"/>
        </w:rPr>
        <w:t>4. Tom White, Hadoop: The Definitive Guide, 4th Edition, O'Reilly Media, 2015.</w:t>
      </w:r>
    </w:p>
    <w:p w14:paraId="35E9CDB0" w14:textId="77777777" w:rsidR="00962342" w:rsidRDefault="00000000">
      <w:pPr>
        <w:spacing w:after="40"/>
      </w:pPr>
      <w:r>
        <w:rPr>
          <w:rFonts w:ascii="Arial" w:hAnsi="Arial"/>
          <w:sz w:val="19"/>
        </w:rPr>
        <w:t>5. Seema Acharya, Subhasini Chellappan, Big Data Analytics, 2nd Edition, Wiley India, 2019.</w:t>
      </w:r>
    </w:p>
    <w:p w14:paraId="6584A822" w14:textId="77777777" w:rsidR="00962342" w:rsidRDefault="00000000">
      <w:pPr>
        <w:spacing w:after="40"/>
      </w:pPr>
      <w:r>
        <w:rPr>
          <w:rFonts w:ascii="Arial" w:hAnsi="Arial"/>
          <w:sz w:val="19"/>
        </w:rPr>
        <w:t>6. Streamlit Documentation, docs.streamlit.io.</w:t>
      </w:r>
    </w:p>
    <w:p w14:paraId="2D332055" w14:textId="77777777" w:rsidR="00962342" w:rsidRDefault="00000000">
      <w:pPr>
        <w:spacing w:after="40"/>
      </w:pPr>
      <w:r>
        <w:rPr>
          <w:rFonts w:ascii="Arial" w:hAnsi="Arial"/>
          <w:sz w:val="19"/>
        </w:rPr>
        <w:t>7. Project code: github.com/bda-air-pollution (PCCoE BDA Mini-Project).</w:t>
      </w:r>
    </w:p>
    <w:sectPr w:rsidR="00962342" w:rsidSect="00034616">
      <w:footerReference w:type="default" r:id="rId17"/>
      <w:pgSz w:w="12240" w:h="15840"/>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AA0BB" w14:textId="77777777" w:rsidR="003C00EE" w:rsidRDefault="003C00EE">
      <w:pPr>
        <w:spacing w:after="0" w:line="240" w:lineRule="auto"/>
      </w:pPr>
      <w:r>
        <w:separator/>
      </w:r>
    </w:p>
  </w:endnote>
  <w:endnote w:type="continuationSeparator" w:id="0">
    <w:p w14:paraId="6E0B24E8" w14:textId="77777777" w:rsidR="003C00EE" w:rsidRDefault="003C00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D40A3" w14:textId="77777777" w:rsidR="00962342" w:rsidRDefault="00000000">
    <w:pPr>
      <w:pStyle w:val="Footer"/>
      <w:jc w:val="center"/>
    </w:pPr>
    <w:r>
      <w:rPr>
        <w:color w:val="808080"/>
        <w:sz w:val="17"/>
      </w:rPr>
      <w:t>BDA Mini Project · Analysis of Air Pollution Patterns and Hotspots Across India Using Apache Spark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60779" w14:textId="77777777" w:rsidR="003C00EE" w:rsidRDefault="003C00EE">
      <w:pPr>
        <w:spacing w:after="0" w:line="240" w:lineRule="auto"/>
      </w:pPr>
      <w:r>
        <w:separator/>
      </w:r>
    </w:p>
  </w:footnote>
  <w:footnote w:type="continuationSeparator" w:id="0">
    <w:p w14:paraId="2298B590" w14:textId="77777777" w:rsidR="003C00EE" w:rsidRDefault="003C00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9581959">
    <w:abstractNumId w:val="8"/>
  </w:num>
  <w:num w:numId="2" w16cid:durableId="413865377">
    <w:abstractNumId w:val="6"/>
  </w:num>
  <w:num w:numId="3" w16cid:durableId="582684086">
    <w:abstractNumId w:val="5"/>
  </w:num>
  <w:num w:numId="4" w16cid:durableId="112292704">
    <w:abstractNumId w:val="4"/>
  </w:num>
  <w:num w:numId="5" w16cid:durableId="638389131">
    <w:abstractNumId w:val="7"/>
  </w:num>
  <w:num w:numId="6" w16cid:durableId="349377216">
    <w:abstractNumId w:val="3"/>
  </w:num>
  <w:num w:numId="7" w16cid:durableId="217865104">
    <w:abstractNumId w:val="2"/>
  </w:num>
  <w:num w:numId="8" w16cid:durableId="1349987437">
    <w:abstractNumId w:val="1"/>
  </w:num>
  <w:num w:numId="9" w16cid:durableId="2010400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511B"/>
    <w:rsid w:val="003C00EE"/>
    <w:rsid w:val="005C6B15"/>
    <w:rsid w:val="00962342"/>
    <w:rsid w:val="00A30FA2"/>
    <w:rsid w:val="00A8652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AAF75A"/>
  <w14:defaultImageDpi w14:val="300"/>
  <w15:docId w15:val="{38BD734E-ED31-4CAC-9EBE-441B6B1E2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1810</Words>
  <Characters>10321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Chaitanya Deore</cp:lastModifiedBy>
  <cp:revision>4</cp:revision>
  <dcterms:created xsi:type="dcterms:W3CDTF">2013-12-23T23:15:00Z</dcterms:created>
  <dcterms:modified xsi:type="dcterms:W3CDTF">2026-10-26T04:46:00Z</dcterms:modified>
  <cp:category/>
</cp:coreProperties>
</file>