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ng" ContentType="image/png"/>
  <Override PartName="/word/media/rId29.png" ContentType="image/png"/>
  <Override PartName="/word/media/rId42.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 Technical Report</w:t>
      </w:r>
      <w:r>
        <w:br/>
      </w:r>
      <w:r>
        <w:rPr>
          <w:b/>
          <w:bCs/>
        </w:rPr>
        <w:t xml:space="preserve">On</w:t>
      </w:r>
      <w:r>
        <w:br/>
      </w:r>
      <w:r>
        <w:rPr>
          <w:b/>
          <w:bCs/>
        </w:rPr>
        <w:t xml:space="preserve">URBAN DIGITAL TWIN FOR PREDICTIVE MAINTENANCE AND AI-POWERED GRIEVANCE MANAGEMENT: AN INTEGRATED AI–GIS FRAMEWORK</w:t>
      </w:r>
      <w:r>
        <w:br/>
      </w:r>
      <w:r>
        <w:rPr>
          <w:b/>
          <w:bCs/>
        </w:rPr>
        <w:t xml:space="preserve">Under</w:t>
      </w:r>
      <w:r>
        <w:br/>
      </w:r>
      <w:r>
        <w:rPr>
          <w:b/>
          <w:bCs/>
        </w:rPr>
        <w:t xml:space="preserve">Research Methodology Laboratory</w:t>
      </w:r>
      <w:r>
        <w:br/>
      </w:r>
      <w:r>
        <w:rPr>
          <w:b/>
          <w:bCs/>
        </w:rPr>
        <w:t xml:space="preserve">[Course Code- BIT27EL01]</w:t>
      </w:r>
      <w:r>
        <w:br/>
      </w:r>
      <w:r>
        <w:rPr>
          <w:b/>
          <w:bCs/>
        </w:rPr>
        <w:t xml:space="preserve">In The Partial Fulfillment for the Award of The Degree</w:t>
      </w:r>
      <w:r>
        <w:br/>
      </w:r>
      <w:r>
        <w:rPr>
          <w:b/>
          <w:bCs/>
        </w:rPr>
        <w:t xml:space="preserve">Of</w:t>
      </w:r>
      <w:r>
        <w:br/>
      </w:r>
      <w:r>
        <w:rPr>
          <w:b/>
          <w:bCs/>
        </w:rPr>
        <w:t xml:space="preserve">BACHELOR OF TECHNOLOGY</w:t>
      </w:r>
      <w:r>
        <w:br/>
      </w:r>
      <w:r>
        <w:rPr>
          <w:b/>
          <w:bCs/>
        </w:rPr>
        <w:t xml:space="preserve">IN</w:t>
      </w:r>
      <w:r>
        <w:br/>
      </w:r>
      <w:r>
        <w:rPr>
          <w:b/>
          <w:bCs/>
        </w:rPr>
        <w:t xml:space="preserve">INFORMATION TECHNOLOGY</w:t>
      </w:r>
      <w:r>
        <w:br/>
      </w:r>
      <w:r>
        <w:rPr>
          <w:b/>
          <w:bCs/>
        </w:rPr>
        <w:t xml:space="preserve">By</w:t>
      </w:r>
      <w:r>
        <w:br/>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PRN: 121B1B065</w:t>
            </w:r>
          </w:p>
        </w:tc>
        <w:tc>
          <w:tcPr/>
          <w:p>
            <w:pPr>
              <w:pStyle w:val="Compact"/>
              <w:jc w:val="left"/>
            </w:pPr>
            <w:r>
              <w:rPr>
                <w:b/>
                <w:bCs/>
              </w:rPr>
              <w:t xml:space="preserve">Arpita Rahul Patki</w:t>
            </w:r>
          </w:p>
        </w:tc>
      </w:tr>
      <w:tr>
        <w:tc>
          <w:tcPr/>
          <w:p>
            <w:pPr>
              <w:pStyle w:val="Compact"/>
              <w:jc w:val="left"/>
            </w:pPr>
            <w:r>
              <w:rPr>
                <w:b/>
                <w:bCs/>
              </w:rPr>
              <w:t xml:space="preserve">PRN: 121B1B068</w:t>
            </w:r>
          </w:p>
        </w:tc>
        <w:tc>
          <w:tcPr/>
          <w:p>
            <w:pPr>
              <w:pStyle w:val="Compact"/>
              <w:jc w:val="left"/>
            </w:pPr>
            <w:r>
              <w:rPr>
                <w:b/>
                <w:bCs/>
              </w:rPr>
              <w:t xml:space="preserve">Chaitanya Deore</w:t>
            </w:r>
          </w:p>
        </w:tc>
      </w:tr>
      <w:tr>
        <w:tc>
          <w:tcPr/>
          <w:p>
            <w:pPr>
              <w:pStyle w:val="Compact"/>
              <w:jc w:val="left"/>
            </w:pPr>
            <w:r>
              <w:rPr>
                <w:b/>
                <w:bCs/>
              </w:rPr>
              <w:t xml:space="preserve">PRN: 121B1B072</w:t>
            </w:r>
          </w:p>
        </w:tc>
        <w:tc>
          <w:tcPr/>
          <w:p>
            <w:pPr>
              <w:pStyle w:val="Compact"/>
              <w:jc w:val="left"/>
            </w:pPr>
            <w:r>
              <w:rPr>
                <w:b/>
                <w:bCs/>
              </w:rPr>
              <w:t xml:space="preserve">Varad Deshmukh</w:t>
            </w:r>
          </w:p>
        </w:tc>
      </w:tr>
      <w:tr>
        <w:tc>
          <w:tcPr/>
          <w:p>
            <w:pPr>
              <w:pStyle w:val="Compact"/>
              <w:jc w:val="left"/>
            </w:pPr>
            <w:r>
              <w:rPr>
                <w:b/>
                <w:bCs/>
              </w:rPr>
              <w:t xml:space="preserve">PRN: 121B1B079</w:t>
            </w:r>
          </w:p>
        </w:tc>
        <w:tc>
          <w:tcPr/>
          <w:p>
            <w:pPr>
              <w:pStyle w:val="Compact"/>
              <w:jc w:val="left"/>
            </w:pPr>
            <w:r>
              <w:rPr>
                <w:b/>
                <w:bCs/>
              </w:rPr>
              <w:t xml:space="preserve">Vedant Sarode</w:t>
            </w:r>
          </w:p>
        </w:tc>
      </w:tr>
    </w:tbl>
    <w:p>
      <w:pPr>
        <w:pStyle w:val="BodyText"/>
      </w:pPr>
      <w:r>
        <w:rPr>
          <w:b/>
          <w:bCs/>
        </w:rPr>
        <w:t xml:space="preserve">Under The Guidance of</w:t>
      </w:r>
      <w:r>
        <w:br/>
      </w:r>
      <w:r>
        <w:rPr>
          <w:b/>
          <w:bCs/>
        </w:rPr>
        <w:t xml:space="preserve">Prof. Radha Deoghare</w:t>
      </w:r>
      <w:r>
        <w:br/>
      </w:r>
      <w:r>
        <w:rPr>
          <w:b/>
          <w:bCs/>
        </w:rPr>
        <w:t xml:space="preserve">DEPARTMENT OF INFORMATION TECHNOLOGY</w:t>
      </w:r>
      <w:r>
        <w:br/>
      </w:r>
      <w:r>
        <w:rPr>
          <w:b/>
          <w:bCs/>
        </w:rPr>
        <w:t xml:space="preserve">PIMPRI CHINCHWAD COLLEGE OF ENGINEERING</w:t>
      </w:r>
      <w:r>
        <w:br/>
      </w:r>
      <w:r>
        <w:rPr>
          <w:b/>
          <w:bCs/>
        </w:rPr>
        <w:t xml:space="preserve">SECTOR NO. 26, PRADHIKARAN, NIGDI, PUNE – 411 044</w:t>
      </w:r>
      <w:r>
        <w:br/>
      </w:r>
      <w:r>
        <w:rPr>
          <w:b/>
          <w:bCs/>
        </w:rPr>
        <w:t xml:space="preserve">[An Autonomous Institute Affiliated to Savitribai Phule Pune University]</w:t>
      </w:r>
      <w:r>
        <w:br/>
      </w:r>
      <w:r>
        <w:rPr>
          <w:b/>
          <w:bCs/>
        </w:rPr>
        <w:t xml:space="preserve">ACADEMIC YEAR: 2026–27</w:t>
      </w:r>
    </w:p>
    <w:p>
      <w:pPr>
        <w:pStyle w:val="BodyText"/>
      </w:pPr>
      <w:r>
        <w:rPr>
          <w:b/>
          <w:bCs/>
        </w:rPr>
        <w:t xml:space="preserve">DEPARTMENT OF INFORMATION TECHNOLOGY</w:t>
      </w:r>
      <w:r>
        <w:br/>
      </w:r>
      <w:r>
        <w:rPr>
          <w:b/>
          <w:bCs/>
        </w:rPr>
        <w:t xml:space="preserve">PIMPRI CHINCHWAD COLLEGE OF ENGINEERING, PUNE</w:t>
      </w:r>
      <w:r>
        <w:br/>
      </w:r>
      <w:r>
        <w:rPr>
          <w:b/>
          <w:bCs/>
        </w:rPr>
        <w:t xml:space="preserve">CERTIFICATE OF COMPLETION</w:t>
      </w:r>
      <w:r>
        <w:br/>
      </w:r>
    </w:p>
    <w:p>
      <w:pPr>
        <w:pStyle w:val="BodyText"/>
      </w:pPr>
      <w:r>
        <w:t xml:space="preserve">This is to certify that the Technical Report entitled:</w:t>
      </w:r>
    </w:p>
    <w:p>
      <w:pPr>
        <w:pStyle w:val="BodyText"/>
      </w:pPr>
      <w:r>
        <w:rPr>
          <w:b/>
          <w:bCs/>
        </w:rPr>
        <w:t xml:space="preserve">“Urban Digital Twin for Predictive Maintenance and AI-Powered Grievance Management: An Integrated AI–GIS Framework”</w:t>
      </w:r>
    </w:p>
    <w:p>
      <w:pPr>
        <w:pStyle w:val="BodyText"/>
      </w:pPr>
      <w:r>
        <w:t xml:space="preserve">Submitted by Final Year B. Tech Students of Information Technology: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PRN No.</w:t>
            </w:r>
          </w:p>
        </w:tc>
        <w:tc>
          <w:tcPr/>
          <w:p>
            <w:pPr>
              <w:pStyle w:val="Compact"/>
              <w:jc w:val="left"/>
            </w:pPr>
            <w:r>
              <w:rPr>
                <w:b/>
                <w:bCs/>
              </w:rPr>
              <w:t xml:space="preserve">Name of the Student</w:t>
            </w:r>
          </w:p>
        </w:tc>
        <w:tc>
          <w:tcPr/>
          <w:p>
            <w:pPr>
              <w:pStyle w:val="Compact"/>
              <w:jc w:val="left"/>
            </w:pPr>
            <w:r>
              <w:rPr>
                <w:b/>
                <w:bCs/>
              </w:rPr>
              <w:t xml:space="preserve">Sign with Date</w:t>
            </w:r>
          </w:p>
        </w:tc>
      </w:tr>
      <w:tr>
        <w:tc>
          <w:tcPr/>
          <w:p>
            <w:pPr>
              <w:pStyle w:val="Compact"/>
              <w:jc w:val="left"/>
            </w:pPr>
            <w:r>
              <w:t xml:space="preserve">121B1B065</w:t>
            </w:r>
          </w:p>
        </w:tc>
        <w:tc>
          <w:tcPr/>
          <w:p>
            <w:pPr>
              <w:pStyle w:val="Compact"/>
              <w:jc w:val="left"/>
            </w:pPr>
            <w:r>
              <w:t xml:space="preserve">Arpita Rahul Patki</w:t>
            </w:r>
          </w:p>
        </w:tc>
        <w:tc>
          <w:tcPr/>
          <w:p>
            <w:pPr>
              <w:pStyle w:val="Compact"/>
            </w:pPr>
          </w:p>
        </w:tc>
      </w:tr>
      <w:tr>
        <w:tc>
          <w:tcPr/>
          <w:p>
            <w:pPr>
              <w:pStyle w:val="Compact"/>
              <w:jc w:val="left"/>
            </w:pPr>
            <w:r>
              <w:t xml:space="preserve">121B1B068</w:t>
            </w:r>
          </w:p>
        </w:tc>
        <w:tc>
          <w:tcPr/>
          <w:p>
            <w:pPr>
              <w:pStyle w:val="Compact"/>
              <w:jc w:val="left"/>
            </w:pPr>
            <w:r>
              <w:t xml:space="preserve">Chaitanya Deore</w:t>
            </w:r>
          </w:p>
        </w:tc>
        <w:tc>
          <w:tcPr/>
          <w:p>
            <w:pPr>
              <w:pStyle w:val="Compact"/>
            </w:pPr>
          </w:p>
        </w:tc>
      </w:tr>
      <w:tr>
        <w:tc>
          <w:tcPr/>
          <w:p>
            <w:pPr>
              <w:pStyle w:val="Compact"/>
              <w:jc w:val="left"/>
            </w:pPr>
            <w:r>
              <w:t xml:space="preserve">121B1B072</w:t>
            </w:r>
          </w:p>
        </w:tc>
        <w:tc>
          <w:tcPr/>
          <w:p>
            <w:pPr>
              <w:pStyle w:val="Compact"/>
              <w:jc w:val="left"/>
            </w:pPr>
            <w:r>
              <w:t xml:space="preserve">Varad Deshmukh</w:t>
            </w:r>
          </w:p>
        </w:tc>
        <w:tc>
          <w:tcPr/>
          <w:p>
            <w:pPr>
              <w:pStyle w:val="Compact"/>
            </w:pPr>
          </w:p>
        </w:tc>
      </w:tr>
      <w:tr>
        <w:tc>
          <w:tcPr/>
          <w:p>
            <w:pPr>
              <w:pStyle w:val="Compact"/>
              <w:jc w:val="left"/>
            </w:pPr>
            <w:r>
              <w:t xml:space="preserve">121B1B079</w:t>
            </w:r>
          </w:p>
        </w:tc>
        <w:tc>
          <w:tcPr/>
          <w:p>
            <w:pPr>
              <w:pStyle w:val="Compact"/>
              <w:jc w:val="left"/>
            </w:pPr>
            <w:r>
              <w:t xml:space="preserve">Vedant Sarode</w:t>
            </w:r>
          </w:p>
        </w:tc>
        <w:tc>
          <w:tcPr/>
          <w:p>
            <w:pPr>
              <w:pStyle w:val="Compact"/>
            </w:pPr>
          </w:p>
        </w:tc>
      </w:tr>
    </w:tbl>
    <w:p>
      <w:pPr>
        <w:pStyle w:val="BodyText"/>
      </w:pPr>
      <w:r>
        <w:t xml:space="preserve">The work presented in this report is a part of Final Year B.Tech Research Methodology Laboratory Course in Sem-VII. The students have successfully completed the activities related to problem identification, study of existing system (comparative analysis), problem formulation and objectives, proposed system, and system architecture.</w:t>
      </w:r>
    </w:p>
    <w:p>
      <w:pPr>
        <w:pStyle w:val="BodyText"/>
      </w:pPr>
      <w:r>
        <w:t xml:space="preserve">This project report has not been earlier submitted to any other Institute or University for the award of any degree or diploma. This certificate is issued in recognition of the successful completion of the requirements prescribed for Research Methodology Laboratory Work.</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Prof. Radha Deoghare</w:t>
            </w:r>
          </w:p>
        </w:tc>
        <w:tc>
          <w:tcPr/>
          <w:p>
            <w:pPr>
              <w:pStyle w:val="Compact"/>
              <w:jc w:val="right"/>
            </w:pPr>
            <w:r>
              <w:rPr>
                <w:b/>
                <w:bCs/>
              </w:rPr>
              <w:t xml:space="preserve">Dr. Jayashree V. Katti</w:t>
            </w:r>
          </w:p>
        </w:tc>
      </w:tr>
      <w:tr>
        <w:tc>
          <w:tcPr/>
          <w:p>
            <w:pPr>
              <w:pStyle w:val="Compact"/>
              <w:jc w:val="left"/>
            </w:pPr>
            <w:r>
              <w:t xml:space="preserve">Internal Guide / Examiner</w:t>
            </w:r>
          </w:p>
        </w:tc>
        <w:tc>
          <w:tcPr/>
          <w:p>
            <w:pPr>
              <w:pStyle w:val="Compact"/>
              <w:jc w:val="right"/>
            </w:pPr>
            <w:r>
              <w:t xml:space="preserve">Head of Department</w:t>
            </w:r>
          </w:p>
        </w:tc>
      </w:tr>
      <w:tr>
        <w:tc>
          <w:tcPr/>
          <w:p>
            <w:pPr>
              <w:pStyle w:val="Compact"/>
              <w:jc w:val="left"/>
            </w:pPr>
            <w:r>
              <w:t xml:space="preserve">Department of Information Technology</w:t>
            </w:r>
          </w:p>
        </w:tc>
        <w:tc>
          <w:tcPr/>
          <w:p>
            <w:pPr>
              <w:pStyle w:val="Compact"/>
              <w:jc w:val="right"/>
            </w:pPr>
            <w:r>
              <w:t xml:space="preserve">Department of Information Technology</w:t>
            </w:r>
          </w:p>
        </w:tc>
      </w:tr>
      <w:tr>
        <w:tc>
          <w:tcPr>
            <w:gridSpan w:val="2"/>
          </w:tcPr>
          <w:p>
            <w:pPr>
              <w:pStyle w:val="Compact"/>
              <w:jc w:val="left"/>
            </w:pPr>
            <w:r>
              <w:rPr>
                <w:b/>
                <w:bCs/>
              </w:rPr>
              <w:t xml:space="preserve">Name &amp; Sign of the External Examiner:</w:t>
            </w:r>
          </w:p>
        </w:tc>
      </w:tr>
      <w:tr>
        <w:tc>
          <w:tcPr/>
          <w:p>
            <w:pPr>
              <w:pStyle w:val="Compact"/>
              <w:jc w:val="left"/>
            </w:pPr>
            <w:r>
              <w:rPr>
                <w:b/>
                <w:bCs/>
              </w:rPr>
              <w:t xml:space="preserve">Date:</w:t>
            </w:r>
          </w:p>
        </w:tc>
        <w:tc>
          <w:tcPr/>
          <w:p>
            <w:pPr>
              <w:pStyle w:val="Compact"/>
              <w:jc w:val="right"/>
            </w:pPr>
            <w:r>
              <w:rPr>
                <w:b/>
                <w:bCs/>
              </w:rPr>
              <w:t xml:space="preserve">Place:</w:t>
            </w:r>
            <w:r>
              <w:t xml:space="preserve"> </w:t>
            </w:r>
            <w:r>
              <w:t xml:space="preserve">Pune</w:t>
            </w:r>
          </w:p>
        </w:tc>
      </w:tr>
    </w:tbl>
    <w:p>
      <w:pPr>
        <w:pStyle w:val="BodyText"/>
      </w:pPr>
      <w:r>
        <w:rPr>
          <w:b/>
          <w:bCs/>
        </w:rPr>
        <w:t xml:space="preserve">ACKNOWLEDGEMENT</w:t>
      </w:r>
      <w:r>
        <w:br/>
      </w:r>
    </w:p>
    <w:p>
      <w:pPr>
        <w:pStyle w:val="BodyText"/>
      </w:pPr>
      <w:r>
        <w:t xml:space="preserve">We express our sincere gratitude to our Guide,</w:t>
      </w:r>
      <w:r>
        <w:t xml:space="preserve"> </w:t>
      </w:r>
      <w:r>
        <w:rPr>
          <w:b/>
          <w:bCs/>
        </w:rPr>
        <w:t xml:space="preserve">Prof. Radha Deoghare</w:t>
      </w:r>
      <w:r>
        <w:t xml:space="preserve">, for her constant encouragement, insightful guidance, and unwavering support throughout our Research Methodology Laboratory course, especially for the valuable suggestions provided during the architectural formulation and technical analysis of this project. Her expertise in geospatial modeling and artificial intelligence greatly assisted us in identifying municipal bottlenecks, analyzing system requirements, systematically reviewing existing solutions, and developing the proposed integrated framework.</w:t>
      </w:r>
    </w:p>
    <w:p>
      <w:pPr>
        <w:pStyle w:val="BodyText"/>
      </w:pPr>
      <w:r>
        <w:t xml:space="preserve">We also extend our earnest appreciation to our Project Coordinator,</w:t>
      </w:r>
      <w:r>
        <w:t xml:space="preserve"> </w:t>
      </w:r>
      <w:r>
        <w:rPr>
          <w:b/>
          <w:bCs/>
        </w:rPr>
        <w:t xml:space="preserve">Dr. Sandhya S. Waghere</w:t>
      </w:r>
      <w:r>
        <w:t xml:space="preserve">, for her continuous assistance, structured coordination, and constructive evaluations from the inception of this research work.</w:t>
      </w:r>
    </w:p>
    <w:p>
      <w:pPr>
        <w:pStyle w:val="BodyText"/>
      </w:pPr>
      <w:r>
        <w:t xml:space="preserve">We express our profound thanks to</w:t>
      </w:r>
      <w:r>
        <w:t xml:space="preserve"> </w:t>
      </w:r>
      <w:r>
        <w:rPr>
          <w:b/>
          <w:bCs/>
        </w:rPr>
        <w:t xml:space="preserve">Dr. Jayashree V. Katti</w:t>
      </w:r>
      <w:r>
        <w:t xml:space="preserve">, Head of the Department of Information Technology, for providing the state-of-the-art infrastructural facilities, computational resources, and academic environment conducive to advanced engineering research.</w:t>
      </w:r>
    </w:p>
    <w:p>
      <w:pPr>
        <w:pStyle w:val="BodyText"/>
      </w:pPr>
      <w:r>
        <w:t xml:space="preserve">Lastly, we extend our heartfelt thanks to our faculty members, laboratory staff, and peer reviewers for their direct and indirect contributions toward the successful completion of this technical report.</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rPr>
                <w:b/>
                <w:bCs/>
              </w:rPr>
              <w:t xml:space="preserve">Place:</w:t>
            </w:r>
            <w:r>
              <w:t xml:space="preserve"> </w:t>
            </w:r>
            <w:r>
              <w:t xml:space="preserve">Pune</w:t>
            </w:r>
          </w:p>
        </w:tc>
        <w:tc>
          <w:tcPr/>
          <w:p>
            <w:pPr>
              <w:pStyle w:val="Compact"/>
            </w:pPr>
          </w:p>
        </w:tc>
        <w:tc>
          <w:tcPr/>
          <w:p>
            <w:pPr>
              <w:pStyle w:val="Compact"/>
              <w:jc w:val="right"/>
            </w:pPr>
            <w:r>
              <w:rPr>
                <w:b/>
                <w:bCs/>
              </w:rPr>
              <w:t xml:space="preserve">Arpita Rahul Patki</w:t>
            </w:r>
            <w:r>
              <w:t xml:space="preserve"> </w:t>
            </w:r>
            <w:r>
              <w:t xml:space="preserve">(121B1B065)</w:t>
            </w:r>
          </w:p>
        </w:tc>
      </w:tr>
      <w:tr>
        <w:tc>
          <w:tcPr/>
          <w:p>
            <w:pPr>
              <w:pStyle w:val="Compact"/>
              <w:jc w:val="left"/>
            </w:pPr>
            <w:r>
              <w:rPr>
                <w:b/>
                <w:bCs/>
              </w:rPr>
              <w:t xml:space="preserve">Date:</w:t>
            </w:r>
          </w:p>
        </w:tc>
        <w:tc>
          <w:tcPr/>
          <w:p>
            <w:pPr>
              <w:pStyle w:val="Compact"/>
            </w:pPr>
          </w:p>
        </w:tc>
        <w:tc>
          <w:tcPr/>
          <w:p>
            <w:pPr>
              <w:pStyle w:val="Compact"/>
              <w:jc w:val="right"/>
            </w:pPr>
            <w:r>
              <w:rPr>
                <w:b/>
                <w:bCs/>
              </w:rPr>
              <w:t xml:space="preserve">Chaitanya Deore</w:t>
            </w:r>
            <w:r>
              <w:t xml:space="preserve"> </w:t>
            </w:r>
            <w:r>
              <w:t xml:space="preserve">(121B1B068)</w:t>
            </w:r>
          </w:p>
        </w:tc>
      </w:tr>
      <w:tr>
        <w:tc>
          <w:tcPr/>
          <w:p>
            <w:pPr>
              <w:pStyle w:val="Compact"/>
            </w:pPr>
          </w:p>
        </w:tc>
        <w:tc>
          <w:tcPr/>
          <w:p>
            <w:pPr>
              <w:pStyle w:val="Compact"/>
            </w:pPr>
          </w:p>
        </w:tc>
        <w:tc>
          <w:tcPr/>
          <w:p>
            <w:pPr>
              <w:pStyle w:val="Compact"/>
              <w:jc w:val="right"/>
            </w:pPr>
            <w:r>
              <w:rPr>
                <w:b/>
                <w:bCs/>
              </w:rPr>
              <w:t xml:space="preserve">Varad Deshmukh</w:t>
            </w:r>
            <w:r>
              <w:t xml:space="preserve"> </w:t>
            </w:r>
            <w:r>
              <w:t xml:space="preserve">(121B1B072)</w:t>
            </w:r>
          </w:p>
        </w:tc>
      </w:tr>
      <w:tr>
        <w:tc>
          <w:tcPr/>
          <w:p>
            <w:pPr>
              <w:pStyle w:val="Compact"/>
            </w:pPr>
          </w:p>
        </w:tc>
        <w:tc>
          <w:tcPr/>
          <w:p>
            <w:pPr>
              <w:pStyle w:val="Compact"/>
            </w:pPr>
          </w:p>
        </w:tc>
        <w:tc>
          <w:tcPr/>
          <w:p>
            <w:pPr>
              <w:pStyle w:val="Compact"/>
              <w:jc w:val="right"/>
            </w:pPr>
            <w:r>
              <w:rPr>
                <w:b/>
                <w:bCs/>
              </w:rPr>
              <w:t xml:space="preserve">Vedant Sarode</w:t>
            </w:r>
            <w:r>
              <w:t xml:space="preserve"> </w:t>
            </w:r>
            <w:r>
              <w:t xml:space="preserve">(121B1B079)</w:t>
            </w:r>
          </w:p>
        </w:tc>
      </w:tr>
    </w:tbl>
    <w:p>
      <w:pPr>
        <w:pStyle w:val="BodyText"/>
      </w:pPr>
      <w:r>
        <w:rPr>
          <w:b/>
          <w:bCs/>
        </w:rPr>
        <w:t xml:space="preserve">CONTENTS</w:t>
      </w:r>
      <w:r>
        <w:br/>
      </w:r>
    </w:p>
    <w:p>
      <w:pPr>
        <w:pStyle w:val="BodyText"/>
      </w:pPr>
      <w:r>
        <w:rPr>
          <w:b/>
          <w:bCs/>
        </w:rPr>
        <w:t xml:space="preserve">Abstract</w:t>
      </w:r>
    </w:p>
    <w:p>
      <w:pPr>
        <w:pStyle w:val="BodyText"/>
      </w:pPr>
      <w:r>
        <w:t xml:space="preserve">Rapid urbanization overwhelms legacy municipal grievance redressal systems with textual ambiguity, 2D spatial inaccuracies, and departmental misrouting. This research develops a Knowledge-Graph-enabled 3D Geospatial Urban Digital Twin framework unifying CesiumJS photogrammetry, computer vision defect categorization (</w:t>
      </w:r>
      <w:r>
        <w:rPr>
          <w:i/>
          <w:iCs/>
        </w:rPr>
        <w:t xml:space="preserve">CivicVision-v1.4</w:t>
      </w:r>
      <w:r>
        <w:t xml:space="preserve">), multi-criteria workload-aware routing, and topological road-network hazard routing. Demonstrated across a 1-km high-density study zone at PCCOE and the broader Pimpri Chinchwad Municipal Corporation (PCMC) sphere, the architecture is engineered as an open, coordinate-agnostic system compliant with the National Urban Digital Mission (NUDM) and India Urban Data Exchange (IUDX).</w:t>
      </w:r>
      <w:r>
        <w:t xml:space="preserve"> </w:t>
      </w:r>
      <w:r>
        <w:rPr>
          <w:i/>
          <w:iCs/>
        </w:rPr>
        <w:t xml:space="preserve">CivicVision-v1.4</w:t>
      </w:r>
      <w:r>
        <w:t xml:space="preserve"> </w:t>
      </w:r>
      <w:r>
        <w:t xml:space="preserve">attains 93.3% validation accuracy and 93.1% F1-score across six municipal departments. The platform achieves a 99.9% reduction in triage-to-dispatch latency (0.32 s vs. 14.4 h), reduces misrouting by 88.7%, and dynamically eliminates resolved 3D hazards, establishing an auditable, predictive paradigm for urban governance in India.</w:t>
      </w:r>
    </w:p>
    <w:bookmarkStart w:id="13" w:name="introduction"/>
    <w:p>
      <w:pPr>
        <w:pStyle w:val="Heading1"/>
      </w:pPr>
      <w:r>
        <w:t xml:space="preserve">INTRODUCTION</w:t>
      </w:r>
    </w:p>
    <w:bookmarkStart w:id="9" w:name="background-of-the-project"/>
    <w:p>
      <w:pPr>
        <w:pStyle w:val="Heading2"/>
      </w:pPr>
      <w:r>
        <w:t xml:space="preserve">Background of the Project</w:t>
      </w:r>
    </w:p>
    <w:p>
      <w:pPr>
        <w:pStyle w:val="FirstParagraph"/>
      </w:pPr>
      <w:r>
        <w:t xml:space="preserve">Civic infrastructure—encompassing asphalt roadways, stormwater drainage networks, municipal solid waste management, potable water pipelines, street illumination, and public green spaces—constitutes the foundational backbone of urban livability and socio-economic productivity. In India, rapid urban population growth and high demographic density impose severe mechanical, structural, and environmental stresses on municipal services. Urban Local Bodies (ULBs) currently rely on legacy grievance portals, telephonic helplines, or basic 2D smartphone ticketing applications.</w:t>
      </w:r>
    </w:p>
    <w:p>
      <w:pPr>
        <w:pStyle w:val="BodyText"/>
      </w:pPr>
      <w:r>
        <w:t xml:space="preserve">These legacy workflows suffer from systemic structural deficiencies:</w:t>
      </w:r>
    </w:p>
    <w:p>
      <w:pPr>
        <w:numPr>
          <w:ilvl w:val="0"/>
          <w:numId w:val="1001"/>
        </w:numPr>
      </w:pPr>
      <w:r>
        <w:rPr>
          <w:b/>
          <w:bCs/>
        </w:rPr>
        <w:t xml:space="preserve">Textual Ambiguity and Category Misclassification</w:t>
      </w:r>
      <w:r>
        <w:t xml:space="preserve">: Citizens frequently report complaints using subjective verbal descriptions, selecting erroneous municipal departments and causing inter-departmental bouncing.</w:t>
      </w:r>
    </w:p>
    <w:p>
      <w:pPr>
        <w:numPr>
          <w:ilvl w:val="0"/>
          <w:numId w:val="1001"/>
        </w:numPr>
      </w:pPr>
      <w:r>
        <w:rPr>
          <w:b/>
          <w:bCs/>
        </w:rPr>
        <w:t xml:space="preserve">Absence of 3D Geospatial Grounding</w:t>
      </w:r>
      <w:r>
        <w:t xml:space="preserve">: Isolated 2D point markers fail to represent elevation offsets, multi-level building facades, terrain slopes, or topological adjacency to critical infrastructure.</w:t>
      </w:r>
    </w:p>
    <w:p>
      <w:pPr>
        <w:numPr>
          <w:ilvl w:val="0"/>
          <w:numId w:val="1001"/>
        </w:numPr>
      </w:pPr>
      <w:r>
        <w:rPr>
          <w:b/>
          <w:bCs/>
        </w:rPr>
        <w:t xml:space="preserve">Unverified Photographic Ingestion</w:t>
      </w:r>
      <w:r>
        <w:t xml:space="preserve">: Lack of real-time computer vision verification results in duplicate tickets, invalid submissions, and prolonged manual desk triage.</w:t>
      </w:r>
    </w:p>
    <w:p>
      <w:pPr>
        <w:numPr>
          <w:ilvl w:val="0"/>
          <w:numId w:val="1001"/>
        </w:numPr>
      </w:pPr>
      <w:r>
        <w:rPr>
          <w:b/>
          <w:bCs/>
        </w:rPr>
        <w:t xml:space="preserve">Reactive Rather than Predictive Maintenance</w:t>
      </w:r>
      <w:r>
        <w:t xml:space="preserve">: Asset restorations occur strictly post-structural failure, escalating municipal capital expenditures.</w:t>
      </w:r>
    </w:p>
    <w:p>
      <w:pPr>
        <w:numPr>
          <w:ilvl w:val="0"/>
          <w:numId w:val="1001"/>
        </w:numPr>
      </w:pPr>
      <w:r>
        <w:rPr>
          <w:b/>
          <w:bCs/>
        </w:rPr>
        <w:t xml:space="preserve">High Proprietary Licensing Costs</w:t>
      </w:r>
      <w:r>
        <w:t xml:space="preserve">: Commercial digital twins depend on proprietary BIM/CAD engines and commercial mapping APIs, rendering them cost-prohibitive for Indian ULBs.</w:t>
      </w:r>
    </w:p>
    <w:bookmarkEnd w:id="9"/>
    <w:bookmarkStart w:id="10" w:name="motivation"/>
    <w:p>
      <w:pPr>
        <w:pStyle w:val="Heading2"/>
      </w:pPr>
      <w:r>
        <w:t xml:space="preserve">Motivation</w:t>
      </w:r>
    </w:p>
    <w:p>
      <w:pPr>
        <w:pStyle w:val="FirstParagraph"/>
      </w:pPr>
      <w:r>
        <w:t xml:space="preserve">Modern smart governance necessitates transitioning from fragmented, human-bottlenecked complaint ticketing to an automated, closed-loop 3D Digital Twin. By coupling photogrammetric 3D geospatial visualization with in-process computer vision defect classification, multi-criteria capacity balancing, and topological road hazard navigation, municipal bodies can transform citizen grievances into real-time operational telemetry.</w:t>
      </w:r>
    </w:p>
    <w:p>
      <w:pPr>
        <w:pStyle w:val="BodyText"/>
      </w:pPr>
      <w:r>
        <w:t xml:space="preserve">The testbed centered around Pimpri Chinchwad College of Engineering (PCCOE), Sector 26, Pradhikaran, Nigdi, provides an optimal urban micro-environment—encompassing educational zones, dense residential sectors, industrial arterial corridors, and stormwater catchments—to demonstrate an end-to-end operational twin scalable across India.</w:t>
      </w:r>
    </w:p>
    <w:bookmarkEnd w:id="10"/>
    <w:bookmarkStart w:id="11" w:name="aim-and-objectives"/>
    <w:p>
      <w:pPr>
        <w:pStyle w:val="Heading2"/>
      </w:pPr>
      <w:r>
        <w:t xml:space="preserve">Aim and Objectives</w:t>
      </w:r>
    </w:p>
    <w:p>
      <w:pPr>
        <w:pStyle w:val="FirstParagraph"/>
      </w:pPr>
      <w:r>
        <w:rPr>
          <w:b/>
          <w:bCs/>
        </w:rPr>
        <w:t xml:space="preserve">Aim</w:t>
      </w:r>
      <w:r>
        <w:t xml:space="preserve">: To design, develop, and empirically evaluate an open-standard, Knowledge-Graph-enabled 3D Geospatial Urban Digital Twin framework for automated computer vision grievance classification, workload-aware multi-department routing, and predictive infrastructure maintenance.</w:t>
      </w:r>
    </w:p>
    <w:p>
      <w:pPr>
        <w:pStyle w:val="BodyText"/>
      </w:pPr>
      <w:r>
        <w:rPr>
          <w:b/>
          <w:bCs/>
        </w:rPr>
        <w:t xml:space="preserve">Key Objectives</w:t>
      </w:r>
      <w:r>
        <w:t xml:space="preserve">:</w:t>
      </w:r>
    </w:p>
    <w:p>
      <w:pPr>
        <w:numPr>
          <w:ilvl w:val="0"/>
          <w:numId w:val="1002"/>
        </w:numPr>
      </w:pPr>
      <w:r>
        <w:t xml:space="preserve">To construct an open-standard 3D photogrammetric web digital twin using CesiumJS, OpenStreetMap (OSM) building extrusions, and WGS84 ellipsoidal terrain clamping without commercial mapping APIs.</w:t>
      </w:r>
    </w:p>
    <w:p>
      <w:pPr>
        <w:numPr>
          <w:ilvl w:val="0"/>
          <w:numId w:val="1002"/>
        </w:numPr>
      </w:pPr>
      <w:r>
        <w:t xml:space="preserve">To engineer an embedded multi-spectral computer vision classifier (</w:t>
      </w:r>
      <w:r>
        <w:rPr>
          <w:i/>
          <w:iCs/>
        </w:rPr>
        <w:t xml:space="preserve">CivicVision-v1.4</w:t>
      </w:r>
      <w:r>
        <w:t xml:space="preserve">) categorizing civic defects across six municipal departments with</w:t>
      </w:r>
      <w:r>
        <w:t xml:space="preserve"> </w:t>
      </w:r>
      <m:oMath>
        <m:r>
          <m:rPr>
            <m:sty m:val="p"/>
          </m:rPr>
          <m:t>&gt;</m:t>
        </m:r>
        <m:r>
          <m:t>90</m:t>
        </m:r>
        <m:r>
          <m:rPr>
            <m:sty m:val="p"/>
          </m:rPr>
          <m:t>%</m:t>
        </m:r>
      </m:oMath>
      <w:r>
        <w:t xml:space="preserve"> </w:t>
      </w:r>
      <w:r>
        <w:t xml:space="preserve">F1-score.</w:t>
      </w:r>
    </w:p>
    <w:p>
      <w:pPr>
        <w:numPr>
          <w:ilvl w:val="0"/>
          <w:numId w:val="1002"/>
        </w:numPr>
      </w:pPr>
      <w:r>
        <w:t xml:space="preserve">To formulate a workload-aware, priority-weighted routing algorithm balancing departmental operator capacities and mitigating jurisdictional disputes.</w:t>
      </w:r>
    </w:p>
    <w:p>
      <w:pPr>
        <w:numPr>
          <w:ilvl w:val="0"/>
          <w:numId w:val="1002"/>
        </w:numPr>
      </w:pPr>
      <w:r>
        <w:t xml:space="preserve">To develop a topological road-network graph routing service executing real-time Dijkstra hazard avoidance around active civic infrastructure defects.</w:t>
      </w:r>
    </w:p>
    <w:p>
      <w:pPr>
        <w:numPr>
          <w:ilvl w:val="0"/>
          <w:numId w:val="1002"/>
        </w:numPr>
      </w:pPr>
      <w:r>
        <w:t xml:space="preserve">To ensure seamless compliance with National Urban Digital Mission (NUDM) and India Urban Data Exchange (IUDX) open standards for horizontal pan-India deployment.</w:t>
      </w:r>
    </w:p>
    <w:bookmarkEnd w:id="11"/>
    <w:bookmarkStart w:id="12" w:name="Xfc9244d83d80d739d5e2a66e0a7151e9be274d4"/>
    <w:p>
      <w:pPr>
        <w:pStyle w:val="Heading2"/>
      </w:pPr>
      <w:r>
        <w:t xml:space="preserve">Sustainable Development Goals (SDG) Addressed</w:t>
      </w:r>
    </w:p>
    <w:p>
      <w:pPr>
        <w:pStyle w:val="FirstParagraph"/>
      </w:pPr>
      <w:r>
        <w:t xml:space="preserve">This research directly contributes to three United Nations Sustainable Development Goals:</w:t>
      </w:r>
    </w:p>
    <w:p>
      <w:pPr>
        <w:numPr>
          <w:ilvl w:val="0"/>
          <w:numId w:val="1003"/>
        </w:numPr>
      </w:pPr>
      <w:r>
        <w:rPr>
          <w:b/>
          <w:bCs/>
        </w:rPr>
        <w:t xml:space="preserve">SDG 9: Industry, Innovation, and Infrastructure</w:t>
      </w:r>
      <w:r>
        <w:t xml:space="preserve">: Fosters resilient, technology-enabled civic infrastructure monitoring through open-source 3D photogrammetry and AI-driven deterioration forecasting.</w:t>
      </w:r>
    </w:p>
    <w:p>
      <w:pPr>
        <w:numPr>
          <w:ilvl w:val="0"/>
          <w:numId w:val="1003"/>
        </w:numPr>
      </w:pPr>
      <w:r>
        <w:rPr>
          <w:b/>
          <w:bCs/>
        </w:rPr>
        <w:t xml:space="preserve">SDG 11: Sustainable Cities and Communities</w:t>
      </w:r>
      <w:r>
        <w:t xml:space="preserve">: Enhances inclusive, safe, and sustainable urban management by cutting complaint turnaround times from 112.8 hours to 22.6 hours and eliminating street hazard bottlenecks.</w:t>
      </w:r>
    </w:p>
    <w:p>
      <w:pPr>
        <w:numPr>
          <w:ilvl w:val="0"/>
          <w:numId w:val="1003"/>
        </w:numPr>
      </w:pPr>
      <w:r>
        <w:rPr>
          <w:b/>
          <w:bCs/>
        </w:rPr>
        <w:t xml:space="preserve">SDG 16: Peace, Justice, and Strong Institutions</w:t>
      </w:r>
      <w:r>
        <w:t xml:space="preserve">: Enforces public administrative transparency via cryptographically verifiable, auditable complaint lifecycle histories.</w:t>
      </w:r>
    </w:p>
    <w:bookmarkEnd w:id="12"/>
    <w:bookmarkEnd w:id="13"/>
    <w:bookmarkStart w:id="21" w:name="literature-review"/>
    <w:p>
      <w:pPr>
        <w:pStyle w:val="Heading1"/>
      </w:pPr>
      <w:r>
        <w:t xml:space="preserve">LITERATURE REVIEW</w:t>
      </w:r>
    </w:p>
    <w:bookmarkStart w:id="14" w:name="review-of-existing-research-technologies"/>
    <w:p>
      <w:pPr>
        <w:pStyle w:val="Heading2"/>
      </w:pPr>
      <w:r>
        <w:t xml:space="preserve">Review of Existing Research / Technologies</w:t>
      </w:r>
    </w:p>
    <w:p>
      <w:pPr>
        <w:pStyle w:val="FirstParagraph"/>
      </w:pPr>
      <w:r>
        <w:t xml:space="preserve">Urban digital twin research has evolved across three successive paradigms:</w:t>
      </w:r>
    </w:p>
    <w:p>
      <w:pPr>
        <w:numPr>
          <w:ilvl w:val="0"/>
          <w:numId w:val="1004"/>
        </w:numPr>
      </w:pPr>
      <w:r>
        <w:rPr>
          <w:b/>
          <w:bCs/>
        </w:rPr>
        <w:t xml:space="preserve">Static 3D Visualization Platforms</w:t>
      </w:r>
      <w:r>
        <w:t xml:space="preserve">: Early smart city platforms utilized static Computer-Aided Design (CAD) and Building Information Modeling (BIM) architectures. While providing millimeter geometric fidelity, these systems require proprietary software licenses and lack real-time civic operational telemetry</w:t>
      </w:r>
      <w:r>
        <w:t xml:space="preserve"> </w:t>
      </w:r>
      <w:r>
        <w:t xml:space="preserve">.</w:t>
      </w:r>
    </w:p>
    <w:p>
      <w:pPr>
        <w:numPr>
          <w:ilvl w:val="0"/>
          <w:numId w:val="1004"/>
        </w:numPr>
      </w:pPr>
      <w:r>
        <w:rPr>
          <w:b/>
          <w:bCs/>
        </w:rPr>
        <w:t xml:space="preserve">2D Web GIS Portals</w:t>
      </w:r>
      <w:r>
        <w:t xml:space="preserve">: National and state platforms (e.g., CPGRAMS, municipal mobile apps) utilize 2D cartographic base maps. However, 2D pinpoints fail to model multi-tier asset dependencies (e.g., underground drainage intersecting road foundations) and lack automated image verification</w:t>
      </w:r>
      <w:r>
        <w:t xml:space="preserve"> </w:t>
      </w:r>
      <w:r>
        <w:t xml:space="preserve">.</w:t>
      </w:r>
    </w:p>
    <w:p>
      <w:pPr>
        <w:numPr>
          <w:ilvl w:val="0"/>
          <w:numId w:val="1004"/>
        </w:numPr>
      </w:pPr>
      <w:r>
        <w:rPr>
          <w:b/>
          <w:bCs/>
        </w:rPr>
        <w:t xml:space="preserve">Deep Learning for Infrastructure Defect Detection</w:t>
      </w:r>
      <w:r>
        <w:t xml:space="preserve">: Recent literature explores convolutional neural networks (CNNs) for road damage detection. However, existing implementations remain isolated computer vision prototypes disconnected from municipal ERPs, GIS asset registries, and operator workload dispatchers</w:t>
      </w:r>
      <w:r>
        <w:t xml:space="preserve"> </w:t>
      </w:r>
      <w:r>
        <w:t xml:space="preserve">.</w:t>
      </w:r>
    </w:p>
    <w:bookmarkEnd w:id="14"/>
    <w:bookmarkStart w:id="20" w:name="comparative-analysis-research-gap"/>
    <w:p>
      <w:pPr>
        <w:pStyle w:val="Heading2"/>
      </w:pPr>
      <w:r>
        <w:t xml:space="preserve">Comparative Analysis &amp; Research Gap</w:t>
      </w:r>
    </w:p>
    <w:p>
      <w:pPr>
        <w:pStyle w:val="FirstParagraph"/>
      </w:pPr>
      <w:r>
        <w:t xml:space="preserve">Fig. </w:t>
      </w:r>
      <w:hyperlink w:anchor="fig:workflow">
        <w:r>
          <w:rPr>
            <w:rStyle w:val="Hyperlink"/>
          </w:rPr>
          <w:t xml:space="preserve">2.1</w:t>
        </w:r>
      </w:hyperlink>
      <w:r>
        <w:t xml:space="preserve"> </w:t>
      </w:r>
      <w:r>
        <w:t xml:space="preserve">illustrates the architectural paradigm shift between conventional municipal complaint ticketing and our proposed closed-loop AI–GIS digital twin pipeline.</w:t>
      </w:r>
    </w:p>
    <w:bookmarkStart w:id="18" w:name="fig:workflow"/>
    <w:p>
      <w:pPr>
        <w:pStyle w:val="CaptionedFigure"/>
      </w:pPr>
      <w:r>
        <w:drawing>
          <wp:inline>
            <wp:extent cx="5067300" cy="2148094"/>
            <wp:effectExtent b="0" l="0" r="0" t="0"/>
            <wp:docPr descr="" title="" id="16" name="Picture"/>
            <a:graphic>
              <a:graphicData uri="http://schemas.openxmlformats.org/drawingml/2006/picture">
                <pic:pic>
                  <pic:nvPicPr>
                    <pic:cNvPr descr="fig1_workflow.png" id="17" name="Picture"/>
                    <pic:cNvPicPr>
                      <a:picLocks noChangeArrowheads="1" noChangeAspect="1"/>
                    </pic:cNvPicPr>
                  </pic:nvPicPr>
                  <pic:blipFill>
                    <a:blip r:embed="rId15"/>
                    <a:stretch>
                      <a:fillRect/>
                    </a:stretch>
                  </pic:blipFill>
                  <pic:spPr bwMode="auto">
                    <a:xfrm>
                      <a:off x="0" y="0"/>
                      <a:ext cx="5067300" cy="2148094"/>
                    </a:xfrm>
                    <a:prstGeom prst="rect">
                      <a:avLst/>
                    </a:prstGeom>
                    <a:noFill/>
                    <a:ln w="9525">
                      <a:noFill/>
                      <a:headEnd/>
                      <a:tailEnd/>
                    </a:ln>
                  </pic:spPr>
                </pic:pic>
              </a:graphicData>
            </a:graphic>
          </wp:inline>
        </w:drawing>
      </w:r>
    </w:p>
    <w:p>
      <w:pPr>
        <w:pStyle w:val="ImageCaption"/>
      </w:pPr>
      <w:r>
        <w:t xml:space="preserve">Architectural Paradigm Shift: Traditional Municipal Ticket Pipeline (Passive) vs. Proposed Closed-Loop Digital Twin Pipeline (AI–GIS Enabled).</w:t>
      </w:r>
    </w:p>
    <w:bookmarkEnd w:id="18"/>
    <w:p>
      <w:pPr>
        <w:pStyle w:val="BodyText"/>
      </w:pPr>
      <w:r>
        <w:t xml:space="preserve">Table </w:t>
      </w:r>
      <w:hyperlink w:anchor="tab:comparison">
        <w:r>
          <w:rPr>
            <w:rStyle w:val="Hyperlink"/>
          </w:rPr>
          <w:t xml:space="preserve">2.1</w:t>
        </w:r>
      </w:hyperlink>
      <w:r>
        <w:t xml:space="preserve"> </w:t>
      </w:r>
      <w:r>
        <w:t xml:space="preserve">details the comparative matrix of the proposed framework against existing commercial digital twins and legacy municipal portals.</w:t>
      </w:r>
    </w:p>
    <w:bookmarkStart w:id="19" w:name="tab:comparison"/>
    <w:p>
      <w:pPr>
        <w:pStyle w:val="TableCaption"/>
      </w:pPr>
      <w:r>
        <w:t xml:space="preserve">Systematic Comparison of Civic Infrastructure Systems</w:t>
      </w:r>
    </w:p>
    <w:tbl>
      <w:tblPr>
        <w:tblStyle w:val="Table"/>
        <w:tblW w:type="auto" w:w="0"/>
        <w:tblLook w:firstRow="1" w:lastRow="0" w:firstColumn="0" w:lastColumn="0" w:noHBand="0" w:noVBand="0" w:val="0020"/>
        <w:tblCaption w:val="Systematic Comparison of Civic Infrastructure Systems"/>
      </w:tblPr>
      <w:tblGrid>
        <w:gridCol w:w="1980"/>
        <w:gridCol w:w="1980"/>
        <w:gridCol w:w="1980"/>
        <w:gridCol w:w="1980"/>
      </w:tblGrid>
      <w:tr>
        <w:trPr>
          <w:tblHeader w:val="on"/>
        </w:trPr>
        <w:tc>
          <w:tcPr/>
          <w:p>
            <w:pPr>
              <w:pStyle w:val="Compact"/>
              <w:jc w:val="left"/>
            </w:pPr>
            <w:r>
              <w:rPr>
                <w:b/>
                <w:bCs/>
              </w:rPr>
              <w:t xml:space="preserve">Capability</w:t>
            </w:r>
          </w:p>
        </w:tc>
        <w:tc>
          <w:tcPr/>
          <w:p>
            <w:pPr>
              <w:pStyle w:val="Compact"/>
              <w:jc w:val="left"/>
            </w:pPr>
            <w:r>
              <w:rPr>
                <w:b/>
                <w:bCs/>
              </w:rPr>
              <w:t xml:space="preserve">Legacy ULB Portals</w:t>
            </w:r>
          </w:p>
        </w:tc>
        <w:tc>
          <w:tcPr/>
          <w:p>
            <w:pPr>
              <w:pStyle w:val="Compact"/>
              <w:jc w:val="left"/>
            </w:pPr>
            <w:r>
              <w:rPr>
                <w:b/>
                <w:bCs/>
              </w:rPr>
              <w:t xml:space="preserve">Commercial Twins</w:t>
            </w:r>
          </w:p>
        </w:tc>
        <w:tc>
          <w:tcPr/>
          <w:p>
            <w:pPr>
              <w:pStyle w:val="Compact"/>
              <w:jc w:val="left"/>
            </w:pPr>
            <w:r>
              <w:rPr>
                <w:b/>
                <w:bCs/>
              </w:rPr>
              <w:t xml:space="preserve">Proposed Digital Twin</w:t>
            </w:r>
          </w:p>
        </w:tc>
      </w:tr>
      <w:tr>
        <w:tc>
          <w:tcPr/>
          <w:p>
            <w:pPr>
              <w:pStyle w:val="Compact"/>
              <w:jc w:val="left"/>
            </w:pPr>
            <w:r>
              <w:rPr>
                <w:b/>
                <w:bCs/>
              </w:rPr>
              <w:t xml:space="preserve">Spatial Engine</w:t>
            </w:r>
          </w:p>
        </w:tc>
        <w:tc>
          <w:tcPr/>
          <w:p>
            <w:pPr>
              <w:pStyle w:val="Compact"/>
              <w:jc w:val="left"/>
            </w:pPr>
            <w:r>
              <w:t xml:space="preserve">Flat 2D point markers</w:t>
            </w:r>
          </w:p>
        </w:tc>
        <w:tc>
          <w:tcPr/>
          <w:p>
            <w:pPr>
              <w:pStyle w:val="Compact"/>
              <w:jc w:val="left"/>
            </w:pPr>
            <w:r>
              <w:t xml:space="preserve">Heavy proprietary CAD/BIM</w:t>
            </w:r>
          </w:p>
        </w:tc>
        <w:tc>
          <w:tcPr/>
          <w:p>
            <w:pPr>
              <w:pStyle w:val="Compact"/>
              <w:jc w:val="left"/>
            </w:pPr>
            <w:r>
              <w:t xml:space="preserve">Full 3D WebGL (CesiumJS), terrain-clamped OSM</w:t>
            </w:r>
          </w:p>
        </w:tc>
      </w:tr>
      <w:tr>
        <w:tc>
          <w:tcPr/>
          <w:p>
            <w:pPr>
              <w:pStyle w:val="Compact"/>
              <w:jc w:val="left"/>
            </w:pPr>
            <w:r>
              <w:rPr>
                <w:b/>
                <w:bCs/>
              </w:rPr>
              <w:t xml:space="preserve">Defect Classification</w:t>
            </w:r>
          </w:p>
        </w:tc>
        <w:tc>
          <w:tcPr/>
          <w:p>
            <w:pPr>
              <w:pStyle w:val="Compact"/>
              <w:jc w:val="left"/>
            </w:pPr>
            <w:r>
              <w:t xml:space="preserve">Manual dropdown selection</w:t>
            </w:r>
          </w:p>
        </w:tc>
        <w:tc>
          <w:tcPr/>
          <w:p>
            <w:pPr>
              <w:pStyle w:val="Compact"/>
              <w:jc w:val="left"/>
            </w:pPr>
            <w:r>
              <w:t xml:space="preserve">Manual clerk tagging</w:t>
            </w:r>
          </w:p>
        </w:tc>
        <w:tc>
          <w:tcPr/>
          <w:p>
            <w:pPr>
              <w:pStyle w:val="Compact"/>
              <w:jc w:val="left"/>
            </w:pPr>
            <w:r>
              <w:t xml:space="preserve">Embedded AI (</w:t>
            </w:r>
            <w:r>
              <w:rPr>
                <w:i/>
                <w:iCs/>
              </w:rPr>
              <w:t xml:space="preserve">CivicVision-v1.4</w:t>
            </w:r>
            <w:r>
              <w:t xml:space="preserve">, 93.3% Acc)</w:t>
            </w:r>
          </w:p>
        </w:tc>
      </w:tr>
      <w:tr>
        <w:tc>
          <w:tcPr/>
          <w:p>
            <w:pPr>
              <w:pStyle w:val="Compact"/>
              <w:jc w:val="left"/>
            </w:pPr>
            <w:r>
              <w:rPr>
                <w:b/>
                <w:bCs/>
              </w:rPr>
              <w:t xml:space="preserve">Department Routing</w:t>
            </w:r>
          </w:p>
        </w:tc>
        <w:tc>
          <w:tcPr/>
          <w:p>
            <w:pPr>
              <w:pStyle w:val="Compact"/>
              <w:jc w:val="left"/>
            </w:pPr>
            <w:r>
              <w:t xml:space="preserve">Manual desk triage (14.4 h)</w:t>
            </w:r>
          </w:p>
        </w:tc>
        <w:tc>
          <w:tcPr/>
          <w:p>
            <w:pPr>
              <w:pStyle w:val="Compact"/>
              <w:jc w:val="left"/>
            </w:pPr>
            <w:r>
              <w:t xml:space="preserve">Static jurisdictional tables</w:t>
            </w:r>
          </w:p>
        </w:tc>
        <w:tc>
          <w:tcPr/>
          <w:p>
            <w:pPr>
              <w:pStyle w:val="Compact"/>
              <w:jc w:val="left"/>
            </w:pPr>
            <w:r>
              <w:t xml:space="preserve">Automated capacity-aware router (0.32 s)</w:t>
            </w:r>
          </w:p>
        </w:tc>
      </w:tr>
      <w:tr>
        <w:tc>
          <w:tcPr/>
          <w:p>
            <w:pPr>
              <w:pStyle w:val="Compact"/>
              <w:jc w:val="left"/>
            </w:pPr>
            <w:r>
              <w:rPr>
                <w:b/>
                <w:bCs/>
              </w:rPr>
              <w:t xml:space="preserve">Asset Interdependence</w:t>
            </w:r>
          </w:p>
        </w:tc>
        <w:tc>
          <w:tcPr/>
          <w:p>
            <w:pPr>
              <w:pStyle w:val="Compact"/>
              <w:jc w:val="left"/>
            </w:pPr>
            <w:r>
              <w:t xml:space="preserve">None (siloed records)</w:t>
            </w:r>
          </w:p>
        </w:tc>
        <w:tc>
          <w:tcPr/>
          <w:p>
            <w:pPr>
              <w:pStyle w:val="Compact"/>
              <w:jc w:val="left"/>
            </w:pPr>
            <w:r>
              <w:t xml:space="preserve">Proprietary CAD overlays</w:t>
            </w:r>
          </w:p>
        </w:tc>
        <w:tc>
          <w:tcPr/>
          <w:p>
            <w:pPr>
              <w:pStyle w:val="Compact"/>
              <w:jc w:val="left"/>
            </w:pPr>
            <w:r>
              <w:t xml:space="preserve">Heterogeneous Knowledge Graph</w:t>
            </w:r>
            <w:r>
              <w:t xml:space="preserve"> </w:t>
            </w:r>
            <m:oMath>
              <m:r>
                <m:t>G</m:t>
              </m:r>
              <m:r>
                <m:rPr>
                  <m:sty m:val="p"/>
                </m:rPr>
                <m:t>=</m:t>
              </m:r>
              <m:r>
                <m:rPr>
                  <m:sty m:val="p"/>
                </m:rPr>
                <m:t>(</m:t>
              </m:r>
              <m:r>
                <m:t>V</m:t>
              </m:r>
              <m:r>
                <m:rPr>
                  <m:sty m:val="p"/>
                </m:rPr>
                <m:t>,</m:t>
              </m:r>
              <m:r>
                <m:t>E</m:t>
              </m:r>
              <m:r>
                <m:rPr>
                  <m:sty m:val="p"/>
                </m:rPr>
                <m:t>,</m:t>
              </m:r>
              <m:r>
                <m:rPr>
                  <m:scr m:val="script"/>
                  <m:sty m:val="p"/>
                </m:rPr>
                <m:t>R</m:t>
              </m:r>
              <m:r>
                <m:rPr>
                  <m:sty m:val="p"/>
                </m:rPr>
                <m:t>)</m:t>
              </m:r>
            </m:oMath>
          </w:p>
        </w:tc>
      </w:tr>
      <w:tr>
        <w:tc>
          <w:tcPr/>
          <w:p>
            <w:pPr>
              <w:pStyle w:val="Compact"/>
              <w:jc w:val="left"/>
            </w:pPr>
            <w:r>
              <w:rPr>
                <w:b/>
                <w:bCs/>
              </w:rPr>
              <w:t xml:space="preserve">Hazard Routing</w:t>
            </w:r>
          </w:p>
        </w:tc>
        <w:tc>
          <w:tcPr/>
          <w:p>
            <w:pPr>
              <w:pStyle w:val="Compact"/>
              <w:jc w:val="left"/>
            </w:pPr>
            <w:r>
              <w:t xml:space="preserve">External 2D maps</w:t>
            </w:r>
          </w:p>
        </w:tc>
        <w:tc>
          <w:tcPr/>
          <w:p>
            <w:pPr>
              <w:pStyle w:val="Compact"/>
              <w:jc w:val="left"/>
            </w:pPr>
            <w:r>
              <w:t xml:space="preserve">Disconnected from complaints</w:t>
            </w:r>
          </w:p>
        </w:tc>
        <w:tc>
          <w:tcPr/>
          <w:p>
            <w:pPr>
              <w:pStyle w:val="Compact"/>
              <w:jc w:val="left"/>
            </w:pPr>
            <w:r>
              <w:t xml:space="preserve">Topological Dijkstra road hazard avoidance</w:t>
            </w:r>
          </w:p>
        </w:tc>
      </w:tr>
      <w:tr>
        <w:tc>
          <w:tcPr/>
          <w:p>
            <w:pPr>
              <w:pStyle w:val="Compact"/>
              <w:jc w:val="left"/>
            </w:pPr>
            <w:r>
              <w:rPr>
                <w:b/>
                <w:bCs/>
              </w:rPr>
              <w:t xml:space="preserve">Licensing &amp; Cost</w:t>
            </w:r>
          </w:p>
        </w:tc>
        <w:tc>
          <w:tcPr/>
          <w:p>
            <w:pPr>
              <w:pStyle w:val="Compact"/>
              <w:jc w:val="left"/>
            </w:pPr>
            <w:r>
              <w:t xml:space="preserve">Variable commercial fees</w:t>
            </w:r>
          </w:p>
        </w:tc>
        <w:tc>
          <w:tcPr/>
          <w:p>
            <w:pPr>
              <w:pStyle w:val="Compact"/>
              <w:jc w:val="left"/>
            </w:pPr>
            <w:r>
              <w:t xml:space="preserve">Heavy recurring fees</w:t>
            </w:r>
          </w:p>
        </w:tc>
        <w:tc>
          <w:tcPr/>
          <w:p>
            <w:pPr>
              <w:pStyle w:val="Compact"/>
              <w:jc w:val="left"/>
            </w:pPr>
            <w:r>
              <w:t xml:space="preserve">Zero-cost open stack (NUDM / IUDX aligned)</w:t>
            </w:r>
          </w:p>
        </w:tc>
      </w:tr>
    </w:tbl>
    <w:bookmarkEnd w:id="19"/>
    <w:p>
      <w:pPr>
        <w:pStyle w:val="BodyText"/>
      </w:pPr>
      <w:r>
        <w:rPr>
          <w:b/>
          <w:bCs/>
        </w:rPr>
        <w:t xml:space="preserve">Identified Research Gap</w:t>
      </w:r>
      <w:r>
        <w:t xml:space="preserve">: Existing civic governance systems exhibit a fundamental disconnect between 3D photogrammetric modeling, computer vision defect verification, capacity-aware departmental routing, and live closed-loop digital twin entity synchronization.</w:t>
      </w:r>
    </w:p>
    <w:bookmarkEnd w:id="20"/>
    <w:bookmarkEnd w:id="21"/>
    <w:bookmarkStart w:id="34" w:name="proposed-methodology"/>
    <w:p>
      <w:pPr>
        <w:pStyle w:val="Heading1"/>
      </w:pPr>
      <w:r>
        <w:t xml:space="preserve">PROPOSED METHODOLOGY</w:t>
      </w:r>
    </w:p>
    <w:bookmarkStart w:id="26" w:name="overall-framework-architecture"/>
    <w:p>
      <w:pPr>
        <w:pStyle w:val="Heading2"/>
      </w:pPr>
      <w:r>
        <w:t xml:space="preserve">Overall Framework Architecture</w:t>
      </w:r>
    </w:p>
    <w:p>
      <w:pPr>
        <w:pStyle w:val="FirstParagraph"/>
      </w:pPr>
      <w:r>
        <w:t xml:space="preserve">The proposed framework is organized into four decoupled, interoperable tiers illustrated in Fig. </w:t>
      </w:r>
      <w:hyperlink w:anchor="fig:architecture">
        <w:r>
          <w:rPr>
            <w:rStyle w:val="Hyperlink"/>
          </w:rPr>
          <w:t xml:space="preserve">3.1</w:t>
        </w:r>
      </w:hyperlink>
      <w:r>
        <w:t xml:space="preserve">:</w:t>
      </w:r>
    </w:p>
    <w:p>
      <w:pPr>
        <w:numPr>
          <w:ilvl w:val="0"/>
          <w:numId w:val="1005"/>
        </w:numPr>
      </w:pPr>
      <w:r>
        <w:rPr>
          <w:b/>
          <w:bCs/>
        </w:rPr>
        <w:t xml:space="preserve">Tier 1: 3D Geospatial Presentation Layer</w:t>
      </w:r>
      <w:r>
        <w:t xml:space="preserve">: CesiumJS client executing 3D raycast entity picking, procedural OSM building extrusion, and interactive hazard routes.</w:t>
      </w:r>
    </w:p>
    <w:p>
      <w:pPr>
        <w:numPr>
          <w:ilvl w:val="0"/>
          <w:numId w:val="1005"/>
        </w:numPr>
      </w:pPr>
      <w:r>
        <w:rPr>
          <w:b/>
          <w:bCs/>
        </w:rPr>
        <w:t xml:space="preserve">Tier 2: Application &amp; Routing Gateway</w:t>
      </w:r>
      <w:r>
        <w:t xml:space="preserve">: Modular TypeScript/Express service managing municipal schemas, REST endpoints under</w:t>
      </w:r>
      <w:r>
        <w:t xml:space="preserve"> </w:t>
      </w:r>
      <w:r>
        <w:rPr>
          <w:rStyle w:val="VerbatimChar"/>
        </w:rPr>
        <w:t xml:space="preserve">/api/v1</w:t>
      </w:r>
      <w:r>
        <w:t xml:space="preserve">, and operator work orders.</w:t>
      </w:r>
    </w:p>
    <w:p>
      <w:pPr>
        <w:numPr>
          <w:ilvl w:val="0"/>
          <w:numId w:val="1005"/>
        </w:numPr>
      </w:pPr>
      <w:r>
        <w:rPr>
          <w:b/>
          <w:bCs/>
        </w:rPr>
        <w:t xml:space="preserve">Tier 3: Multi-Modal AI &amp; Knowledge Graph Intelligence Tier</w:t>
      </w:r>
      <w:r>
        <w:t xml:space="preserve">: Hosts the</w:t>
      </w:r>
      <w:r>
        <w:t xml:space="preserve"> </w:t>
      </w:r>
      <w:r>
        <w:rPr>
          <w:i/>
          <w:iCs/>
        </w:rPr>
        <w:t xml:space="preserve">CivicVision-v1.4</w:t>
      </w:r>
      <w:r>
        <w:t xml:space="preserve"> </w:t>
      </w:r>
      <w:r>
        <w:t xml:space="preserve">classifier, multi-criteria workload allocator, and semantic Knowledge Graph engine.</w:t>
      </w:r>
    </w:p>
    <w:p>
      <w:pPr>
        <w:numPr>
          <w:ilvl w:val="0"/>
          <w:numId w:val="1005"/>
        </w:numPr>
      </w:pPr>
      <w:r>
        <w:rPr>
          <w:b/>
          <w:bCs/>
        </w:rPr>
        <w:t xml:space="preserve">Tier 4: Distributed GIS Persistence Layer</w:t>
      </w:r>
      <w:r>
        <w:t xml:space="preserve">: Turf.js spatial repository with PostGIS compatibility storing WGS84 asset geometries and immutable audit trails.</w:t>
      </w:r>
    </w:p>
    <w:bookmarkStart w:id="25" w:name="fig:architecture"/>
    <w:p>
      <w:pPr>
        <w:pStyle w:val="CaptionedFigure"/>
      </w:pPr>
      <w:r>
        <w:drawing>
          <wp:inline>
            <wp:extent cx="5067300" cy="3777441"/>
            <wp:effectExtent b="0" l="0" r="0" t="0"/>
            <wp:docPr descr="" title="" id="23" name="Picture"/>
            <a:graphic>
              <a:graphicData uri="http://schemas.openxmlformats.org/drawingml/2006/picture">
                <pic:pic>
                  <pic:nvPicPr>
                    <pic:cNvPr descr="system_architecture.png" id="24" name="Picture"/>
                    <pic:cNvPicPr>
                      <a:picLocks noChangeArrowheads="1" noChangeAspect="1"/>
                    </pic:cNvPicPr>
                  </pic:nvPicPr>
                  <pic:blipFill>
                    <a:blip r:embed="rId22"/>
                    <a:stretch>
                      <a:fillRect/>
                    </a:stretch>
                  </pic:blipFill>
                  <pic:spPr bwMode="auto">
                    <a:xfrm>
                      <a:off x="0" y="0"/>
                      <a:ext cx="5067300" cy="3777441"/>
                    </a:xfrm>
                    <a:prstGeom prst="rect">
                      <a:avLst/>
                    </a:prstGeom>
                    <a:noFill/>
                    <a:ln w="9525">
                      <a:noFill/>
                      <a:headEnd/>
                      <a:tailEnd/>
                    </a:ln>
                  </pic:spPr>
                </pic:pic>
              </a:graphicData>
            </a:graphic>
          </wp:inline>
        </w:drawing>
      </w:r>
    </w:p>
    <w:p>
      <w:pPr>
        <w:pStyle w:val="ImageCaption"/>
      </w:pPr>
      <w:r>
        <w:t xml:space="preserve">Complete 4-Tier System Architecture of the Integrated AI–GIS Urban Digital Twin.</w:t>
      </w:r>
    </w:p>
    <w:bookmarkEnd w:id="25"/>
    <w:bookmarkEnd w:id="26"/>
    <w:bookmarkStart w:id="27" w:name="X65151366b0f9c8829eeb66cd057080675cbfd58"/>
    <w:p>
      <w:pPr>
        <w:pStyle w:val="Heading2"/>
      </w:pPr>
      <w:r>
        <w:t xml:space="preserve">AI Computer Vision Defect Classification Engine</w:t>
      </w:r>
    </w:p>
    <w:p>
      <w:pPr>
        <w:pStyle w:val="FirstParagraph"/>
      </w:pPr>
      <w:r>
        <w:t xml:space="preserve">When photographic evidence</w:t>
      </w:r>
      <w:r>
        <w:t xml:space="preserve"> </w:t>
      </w:r>
      <m:oMath>
        <m:r>
          <m:t>I</m:t>
        </m:r>
      </m:oMath>
      <w:r>
        <w:t xml:space="preserve"> </w:t>
      </w:r>
      <w:r>
        <w:t xml:space="preserve">is submitted by a citizen, the image is parsed into an empirical 6-dimensional feature vector</w:t>
      </w:r>
      <w:r>
        <w:t xml:space="preserve"> </w:t>
      </w:r>
      <m:oMath>
        <m:r>
          <m:rPr>
            <m:sty m:val="b"/>
          </m:rPr>
          <m:t>x</m:t>
        </m:r>
        <m:r>
          <m:rPr>
            <m:sty m:val="p"/>
          </m:rPr>
          <m:t>=</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r>
          <m:rPr>
            <m:sty m:val="p"/>
          </m:rPr>
          <m:t>,</m:t>
        </m:r>
        <m:sSub>
          <m:e>
            <m:r>
              <m:t>x</m:t>
            </m:r>
          </m:e>
          <m:sub>
            <m:r>
              <m:t>5</m:t>
            </m:r>
          </m:sub>
        </m:sSub>
        <m:r>
          <m:rPr>
            <m:sty m:val="p"/>
          </m:rPr>
          <m:t>,</m:t>
        </m:r>
        <m:sSub>
          <m:e>
            <m:r>
              <m:t>x</m:t>
            </m:r>
          </m:e>
          <m:sub>
            <m:r>
              <m:t>6</m:t>
            </m:r>
          </m:sub>
        </m:sSub>
        <m:sSup>
          <m:e>
            <m:r>
              <m:rPr>
                <m:sty m:val="p"/>
              </m:rPr>
              <m:t>]</m:t>
            </m:r>
          </m:e>
          <m:sup>
            <m:r>
              <m:t>T</m:t>
            </m:r>
          </m:sup>
        </m:sSup>
        <m:r>
          <m:rPr>
            <m:sty m:val="p"/>
          </m:rPr>
          <m:t>∈</m:t>
        </m:r>
        <m:r>
          <m:rPr>
            <m:sty m:val="p"/>
          </m:rPr>
          <m:t>[</m:t>
        </m:r>
        <m:r>
          <m:t>0</m:t>
        </m:r>
        <m:r>
          <m:rPr>
            <m:sty m:val="p"/>
          </m:rPr>
          <m:t>,</m:t>
        </m:r>
        <m:r>
          <m:t>1</m:t>
        </m:r>
        <m:sSup>
          <m:e>
            <m:r>
              <m:rPr>
                <m:sty m:val="p"/>
              </m:rPr>
              <m:t>]</m:t>
            </m:r>
          </m:e>
          <m:sup>
            <m:r>
              <m:t>6</m:t>
            </m:r>
          </m:sup>
        </m:sSup>
      </m:oMath>
      <w:r>
        <w:t xml:space="preserve">:</w:t>
      </w:r>
    </w:p>
    <w:p>
      <w:pPr>
        <w:pStyle w:val="BodyText"/>
      </w:pPr>
      <m:oMathPara>
        <m:oMathParaPr>
          <m:jc m:val="center"/>
        </m:oMathParaPr>
        <m:oMath>
          <m:eqArr>
            <m:e>
              <m:sSub>
                <m:e>
                  <m:r>
                    <m:t>x</m:t>
                  </m:r>
                </m:e>
                <m:sub>
                  <m:r>
                    <m:t>1</m:t>
                  </m:r>
                </m:sub>
              </m:sSub>
              <m:r>
                <m:t>&amp;</m:t>
              </m:r>
              <m:r>
                <m:rPr>
                  <m:sty m:val="p"/>
                </m:rPr>
                <m:t>=</m:t>
              </m:r>
              <m:r>
                <m:rPr>
                  <m:sty m:val="p"/>
                </m:rPr>
                <m:t>min</m:t>
              </m:r>
              <m:d>
                <m:dPr>
                  <m:begChr m:val="("/>
                  <m:sepChr m:val=""/>
                  <m:endChr m:val=")"/>
                  <m:grow/>
                </m:dPr>
                <m:e>
                  <m:r>
                    <m:t>1.0</m:t>
                  </m:r>
                  <m:r>
                    <m:rPr>
                      <m:sty m:val="p"/>
                    </m:rPr>
                    <m:t>,</m:t>
                  </m:r>
                  <m:f>
                    <m:fPr>
                      <m:type m:val="bar"/>
                    </m:fPr>
                    <m:num>
                      <m:r>
                        <m:t>1</m:t>
                      </m:r>
                    </m:num>
                    <m:den>
                      <m:sSub>
                        <m:e>
                          <m:r>
                            <m:t>θ</m:t>
                          </m:r>
                        </m:e>
                        <m:sub>
                          <m:r>
                            <m:t>R</m:t>
                          </m:r>
                        </m:sub>
                      </m:sSub>
                    </m:den>
                  </m:f>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r>
                                    <m:rPr>
                                      <m:sty m:val="p"/>
                                    </m:rPr>
                                    <m:t>∥</m:t>
                                  </m:r>
                                  <m:r>
                                    <m:rPr>
                                      <m:sty m:val="p"/>
                                    </m:rPr>
                                    <m:t>∇</m:t>
                                  </m:r>
                                  <m:sSub>
                                    <m:e>
                                      <m:r>
                                        <m:t>I</m:t>
                                      </m:r>
                                    </m:e>
                                    <m:sub>
                                      <m:r>
                                        <m:t>i</m:t>
                                      </m:r>
                                    </m:sub>
                                  </m:sSub>
                                  <m:r>
                                    <m:rPr>
                                      <m:sty m:val="p"/>
                                    </m:rPr>
                                    <m:t>∥</m:t>
                                  </m:r>
                                  <m:r>
                                    <m:rPr>
                                      <m:sty m:val="p"/>
                                    </m:rPr>
                                    <m:t>−</m:t>
                                  </m:r>
                                  <m:sSub>
                                    <m:e>
                                      <m:r>
                                        <m:t>μ</m:t>
                                      </m:r>
                                    </m:e>
                                    <m:sub>
                                      <m:r>
                                        <m:rPr>
                                          <m:sty m:val="p"/>
                                        </m:rPr>
                                        <m:t>∇</m:t>
                                      </m:r>
                                    </m:sub>
                                  </m:sSub>
                                </m:e>
                              </m:d>
                            </m:e>
                            <m:sup>
                              <m:r>
                                <m:t>2</m:t>
                              </m:r>
                            </m:sup>
                          </m:sSup>
                        </m:e>
                      </m:nary>
                    </m:e>
                  </m:rad>
                </m:e>
              </m:d>
            </m:e>
            <m:e>
              <m:sSub>
                <m:e>
                  <m:r>
                    <m:t>x</m:t>
                  </m:r>
                </m:e>
                <m:sub>
                  <m:r>
                    <m:t>2</m:t>
                  </m:r>
                </m:sub>
              </m:sSub>
              <m:r>
                <m:t>&amp;</m:t>
              </m:r>
              <m:r>
                <m:rPr>
                  <m:sty m:val="p"/>
                </m:rPr>
                <m:t>=</m:t>
              </m:r>
              <m:f>
                <m:fPr>
                  <m:type m:val="bar"/>
                </m:fPr>
                <m:num>
                  <m:nary>
                    <m:naryPr>
                      <m:chr m:val="∑"/>
                      <m:limLoc m:val="undOvr"/>
                      <m:subHide m:val="off"/>
                      <m:supHide m:val="on"/>
                    </m:naryPr>
                    <m:sub>
                      <m:r>
                        <m:t>i</m:t>
                      </m:r>
                      <m:r>
                        <m:rPr>
                          <m:sty m:val="p"/>
                        </m:rPr>
                        <m:t>∈</m:t>
                      </m:r>
                      <m:r>
                        <m:rPr>
                          <m:sty m:val="p"/>
                        </m:rPr>
                        <m:t>Ω</m:t>
                      </m:r>
                    </m:sub>
                    <m:sup>
                      <m:r>
                        <m:t>​</m:t>
                      </m:r>
                    </m:sup>
                    <m:e>
                      <m:r>
                        <m:rPr>
                          <m:scr m:val="double-struck"/>
                          <m:sty m:val="p"/>
                        </m:rPr>
                        <m:t>I</m:t>
                      </m:r>
                    </m:e>
                  </m:nary>
                  <m:r>
                    <m:rPr>
                      <m:sty m:val="p"/>
                    </m:rPr>
                    <m:t>(</m:t>
                  </m:r>
                  <m:sSubSup>
                    <m:e>
                      <m:r>
                        <m:t>I</m:t>
                      </m:r>
                    </m:e>
                    <m:sub>
                      <m:r>
                        <m:t>i</m:t>
                      </m:r>
                    </m:sub>
                    <m:sup>
                      <m:r>
                        <m:rPr>
                          <m:sty m:val="p"/>
                        </m:rPr>
                        <m:t>(</m:t>
                      </m:r>
                      <m:r>
                        <m:rPr>
                          <m:nor/>
                          <m:sty m:val="p"/>
                        </m:rPr>
                        <m:t>lum</m:t>
                      </m:r>
                      <m:r>
                        <m:rPr>
                          <m:sty m:val="p"/>
                        </m:rPr>
                        <m:t>)</m:t>
                      </m:r>
                    </m:sup>
                  </m:sSubSup>
                  <m:r>
                    <m:rPr>
                      <m:sty m:val="p"/>
                    </m:rPr>
                    <m:t>&gt;</m:t>
                  </m:r>
                  <m:sSub>
                    <m:e>
                      <m:r>
                        <m:t>τ</m:t>
                      </m:r>
                    </m:e>
                    <m:sub>
                      <m:r>
                        <m:rPr>
                          <m:nor/>
                          <m:sty m:val="p"/>
                        </m:rPr>
                        <m:t>spec</m:t>
                      </m:r>
                    </m:sub>
                  </m:sSub>
                  <m:r>
                    <m:rPr>
                      <m:sty m:val="p"/>
                    </m:rPr>
                    <m:t>)</m:t>
                  </m:r>
                </m:num>
                <m:den>
                  <m:nary>
                    <m:naryPr>
                      <m:chr m:val="∑"/>
                      <m:limLoc m:val="undOvr"/>
                      <m:subHide m:val="off"/>
                      <m:supHide m:val="on"/>
                    </m:naryPr>
                    <m:sub>
                      <m:r>
                        <m:t>i</m:t>
                      </m:r>
                      <m:r>
                        <m:rPr>
                          <m:sty m:val="p"/>
                        </m:rPr>
                        <m:t>∈</m:t>
                      </m:r>
                      <m:r>
                        <m:rPr>
                          <m:sty m:val="p"/>
                        </m:rPr>
                        <m:t>Ω</m:t>
                      </m:r>
                    </m:sub>
                    <m:sup>
                      <m:r>
                        <m:t>​</m:t>
                      </m:r>
                    </m:sup>
                    <m:e>
                      <m:r>
                        <m:rPr>
                          <m:scr m:val="double-struck"/>
                          <m:sty m:val="p"/>
                        </m:rPr>
                        <m:t>I</m:t>
                      </m:r>
                    </m:e>
                  </m:nary>
                  <m:r>
                    <m:rPr>
                      <m:sty m:val="p"/>
                    </m:rPr>
                    <m:t>(</m:t>
                  </m:r>
                  <m:sSubSup>
                    <m:e>
                      <m:r>
                        <m:t>I</m:t>
                      </m:r>
                    </m:e>
                    <m:sub>
                      <m:r>
                        <m:t>i</m:t>
                      </m:r>
                    </m:sub>
                    <m:sup>
                      <m:r>
                        <m:rPr>
                          <m:sty m:val="p"/>
                        </m:rPr>
                        <m:t>(</m:t>
                      </m:r>
                      <m:r>
                        <m:rPr>
                          <m:nor/>
                          <m:sty m:val="p"/>
                        </m:rPr>
                        <m:t>lum</m:t>
                      </m:r>
                      <m:r>
                        <m:rPr>
                          <m:sty m:val="p"/>
                        </m:rPr>
                        <m:t>)</m:t>
                      </m:r>
                    </m:sup>
                  </m:sSubSup>
                  <m:r>
                    <m:rPr>
                      <m:sty m:val="p"/>
                    </m:rPr>
                    <m:t>&lt;</m:t>
                  </m:r>
                  <m:sSub>
                    <m:e>
                      <m:r>
                        <m:t>τ</m:t>
                      </m:r>
                    </m:e>
                    <m:sub>
                      <m:r>
                        <m:rPr>
                          <m:nor/>
                          <m:sty m:val="p"/>
                        </m:rPr>
                        <m:t>dark</m:t>
                      </m:r>
                    </m:sub>
                  </m:sSub>
                  <m:r>
                    <m:rPr>
                      <m:sty m:val="p"/>
                    </m:rPr>
                    <m:t>)</m:t>
                  </m:r>
                  <m:r>
                    <m:rPr>
                      <m:sty m:val="p"/>
                    </m:rPr>
                    <m:t>+</m:t>
                  </m:r>
                  <m:r>
                    <m:t>ϵ</m:t>
                  </m:r>
                </m:den>
              </m:f>
            </m:e>
            <m:e>
              <m:sSub>
                <m:e>
                  <m:r>
                    <m:t>x</m:t>
                  </m:r>
                </m:e>
                <m:sub>
                  <m:r>
                    <m:t>3</m:t>
                  </m:r>
                </m:sub>
              </m:sSub>
              <m:r>
                <m:t>&amp;</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2</m:t>
                      </m:r>
                      <m:r>
                        <m:rPr>
                          <m:sty m:val="p"/>
                        </m:rPr>
                        <m:t>⋅</m:t>
                      </m:r>
                      <m:sSub>
                        <m:e>
                          <m:r>
                            <m:t>G</m:t>
                          </m:r>
                        </m:e>
                        <m:sub>
                          <m:r>
                            <m:t>i</m:t>
                          </m:r>
                        </m:sub>
                      </m:sSub>
                      <m:r>
                        <m:rPr>
                          <m:sty m:val="p"/>
                        </m:rPr>
                        <m:t>−</m:t>
                      </m:r>
                      <m:r>
                        <m:rPr>
                          <m:sty m:val="p"/>
                        </m:rPr>
                        <m:t>(</m:t>
                      </m:r>
                      <m:sSub>
                        <m:e>
                          <m:r>
                            <m:t>R</m:t>
                          </m:r>
                        </m:e>
                        <m:sub>
                          <m:r>
                            <m:t>i</m:t>
                          </m:r>
                        </m:sub>
                      </m:sSub>
                      <m:r>
                        <m:rPr>
                          <m:sty m:val="p"/>
                        </m:rPr>
                        <m:t>+</m:t>
                      </m:r>
                      <m:sSub>
                        <m:e>
                          <m:r>
                            <m:t>B</m:t>
                          </m:r>
                        </m:e>
                        <m:sub>
                          <m:r>
                            <m:t>i</m:t>
                          </m:r>
                        </m:sub>
                      </m:sSub>
                      <m:r>
                        <m:rPr>
                          <m:sty m:val="p"/>
                        </m:rPr>
                        <m:t>)</m:t>
                      </m:r>
                    </m:num>
                    <m:den>
                      <m:r>
                        <m:t>2</m:t>
                      </m:r>
                      <m:r>
                        <m:rPr>
                          <m:sty m:val="p"/>
                        </m:rPr>
                        <m:t>⋅</m:t>
                      </m:r>
                      <m:sSub>
                        <m:e>
                          <m:r>
                            <m:t>G</m:t>
                          </m:r>
                        </m:e>
                        <m:sub>
                          <m:r>
                            <m:t>i</m:t>
                          </m:r>
                        </m:sub>
                      </m:sSub>
                      <m:r>
                        <m:rPr>
                          <m:sty m:val="p"/>
                        </m:rPr>
                        <m:t>+</m:t>
                      </m:r>
                      <m:sSub>
                        <m:e>
                          <m:r>
                            <m:t>R</m:t>
                          </m:r>
                        </m:e>
                        <m:sub>
                          <m:r>
                            <m:t>i</m:t>
                          </m:r>
                        </m:sub>
                      </m:sSub>
                      <m:r>
                        <m:rPr>
                          <m:sty m:val="p"/>
                        </m:rPr>
                        <m:t>+</m:t>
                      </m:r>
                      <m:sSub>
                        <m:e>
                          <m:r>
                            <m:t>B</m:t>
                          </m:r>
                        </m:e>
                        <m:sub>
                          <m:r>
                            <m:t>i</m:t>
                          </m:r>
                        </m:sub>
                      </m:sSub>
                      <m:r>
                        <m:rPr>
                          <m:sty m:val="p"/>
                        </m:rPr>
                        <m:t>+</m:t>
                      </m:r>
                      <m:r>
                        <m:t>ϵ</m:t>
                      </m:r>
                    </m:den>
                  </m:f>
                </m:e>
              </m:nary>
            </m:e>
            <m:e>
              <m:sSub>
                <m:e>
                  <m:r>
                    <m:t>x</m:t>
                  </m:r>
                </m:e>
                <m:sub>
                  <m:r>
                    <m:t>4</m:t>
                  </m:r>
                </m:sub>
              </m:sSub>
              <m:r>
                <m:t>&amp;</m:t>
              </m:r>
              <m:r>
                <m:rPr>
                  <m:sty m:val="p"/>
                </m:rPr>
                <m:t>=</m:t>
              </m:r>
              <m:r>
                <m:rPr>
                  <m:sty m:val="p"/>
                </m:rPr>
                <m:t>−</m:t>
              </m:r>
              <m:f>
                <m:fPr>
                  <m:type m:val="bar"/>
                </m:fPr>
                <m:num>
                  <m:r>
                    <m:t>1</m:t>
                  </m:r>
                </m:num>
                <m:den>
                  <m:sSub>
                    <m:e>
                      <m:r>
                        <m:rPr>
                          <m:sty m:val="p"/>
                        </m:rPr>
                        <m:t>log</m:t>
                      </m:r>
                    </m:e>
                    <m:sub>
                      <m:r>
                        <m:t>2</m:t>
                      </m:r>
                    </m:sub>
                  </m:sSub>
                  <m:r>
                    <m:rPr>
                      <m:sty m:val="p"/>
                    </m:rPr>
                    <m:t>(</m:t>
                  </m:r>
                  <m:r>
                    <m:t>K</m:t>
                  </m:r>
                  <m:r>
                    <m:rPr>
                      <m:sty m:val="p"/>
                    </m:rPr>
                    <m:t>)</m:t>
                  </m:r>
                </m:den>
              </m:f>
              <m:nary>
                <m:naryPr>
                  <m:chr m:val="∑"/>
                  <m:limLoc m:val="undOvr"/>
                  <m:subHide m:val="off"/>
                  <m:supHide m:val="off"/>
                </m:naryPr>
                <m:sub>
                  <m:r>
                    <m:t>k</m:t>
                  </m:r>
                  <m:r>
                    <m:rPr>
                      <m:sty m:val="p"/>
                    </m:rPr>
                    <m:t>=</m:t>
                  </m:r>
                  <m:r>
                    <m:t>1</m:t>
                  </m:r>
                </m:sub>
                <m:sup>
                  <m:r>
                    <m:t>K</m:t>
                  </m:r>
                </m:sup>
                <m:e>
                  <m:sSub>
                    <m:e>
                      <m:r>
                        <m:t>p</m:t>
                      </m:r>
                    </m:e>
                    <m:sub>
                      <m:r>
                        <m:t>k</m:t>
                      </m:r>
                    </m:sub>
                  </m:sSub>
                </m:e>
              </m:nary>
              <m:sSub>
                <m:e>
                  <m:r>
                    <m:rPr>
                      <m:sty m:val="p"/>
                    </m:rPr>
                    <m:t>log</m:t>
                  </m:r>
                </m:e>
                <m:sub>
                  <m:r>
                    <m:t>2</m:t>
                  </m:r>
                </m:sub>
              </m:sSub>
              <m:r>
                <m:rPr>
                  <m:sty m:val="p"/>
                </m:rPr>
                <m:t>(</m:t>
              </m:r>
              <m:sSub>
                <m:e>
                  <m:r>
                    <m:t>p</m:t>
                  </m:r>
                </m:e>
                <m:sub>
                  <m:r>
                    <m:t>k</m:t>
                  </m:r>
                </m:sub>
              </m:sSub>
              <m:r>
                <m:rPr>
                  <m:sty m:val="p"/>
                </m:rPr>
                <m:t>)</m:t>
              </m:r>
            </m:e>
          </m:eqArr>
        </m:oMath>
      </m:oMathPara>
    </w:p>
    <w:p>
      <w:pPr>
        <w:pStyle w:val="FirstParagraph"/>
      </w:pPr>
      <w:r>
        <w:t xml:space="preserve">where</w:t>
      </w:r>
      <w:r>
        <w:t xml:space="preserve"> </w:t>
      </w:r>
      <m:oMath>
        <m:sSub>
          <m:e>
            <m:r>
              <m:t>x</m:t>
            </m:r>
          </m:e>
          <m:sub>
            <m:r>
              <m:t>1</m:t>
            </m:r>
          </m:sub>
        </m:sSub>
      </m:oMath>
      <w:r>
        <w:t xml:space="preserve"> </w:t>
      </w:r>
      <w:r>
        <w:t xml:space="preserve">quantifies Sobel edge gradient variance for road asphalt fractures;</w:t>
      </w:r>
      <w:r>
        <w:t xml:space="preserve"> </w:t>
      </w:r>
      <m:oMath>
        <m:sSub>
          <m:e>
            <m:r>
              <m:t>x</m:t>
            </m:r>
          </m:e>
          <m:sub>
            <m:r>
              <m:t>2</m:t>
            </m:r>
          </m:sub>
        </m:sSub>
      </m:oMath>
      <w:r>
        <w:t xml:space="preserve"> </w:t>
      </w:r>
      <w:r>
        <w:t xml:space="preserve">captures low-albedo specular reflectance spikes for standing stormwater;</w:t>
      </w:r>
      <w:r>
        <w:t xml:space="preserve"> </w:t>
      </w:r>
      <m:oMath>
        <m:sSub>
          <m:e>
            <m:r>
              <m:t>x</m:t>
            </m:r>
          </m:e>
          <m:sub>
            <m:r>
              <m:t>3</m:t>
            </m:r>
          </m:sub>
        </m:sSub>
      </m:oMath>
      <w:r>
        <w:t xml:space="preserve"> </w:t>
      </w:r>
      <w:r>
        <w:t xml:space="preserve">represents the Normalized Difference Greenness Index (NDGI) for fallen trees; and</w:t>
      </w:r>
      <w:r>
        <w:t xml:space="preserve"> </w:t>
      </w:r>
      <m:oMath>
        <m:sSub>
          <m:e>
            <m:r>
              <m:t>x</m:t>
            </m:r>
          </m:e>
          <m:sub>
            <m:r>
              <m:t>4</m:t>
            </m:r>
          </m:sub>
        </m:sSub>
      </m:oMath>
      <w:r>
        <w:t xml:space="preserve"> </w:t>
      </w:r>
      <w:r>
        <w:t xml:space="preserve">models normalized Shannon entropy across color histogram bins for solid waste dumps.</w:t>
      </w:r>
    </w:p>
    <w:p>
      <w:pPr>
        <w:pStyle w:val="BodyText"/>
      </w:pPr>
      <w:r>
        <w:t xml:space="preserve">The feature vector</w:t>
      </w:r>
      <w:r>
        <w:t xml:space="preserve"> </w:t>
      </w:r>
      <m:oMath>
        <m:r>
          <m:rPr>
            <m:sty m:val="b"/>
          </m:rPr>
          <m:t>x</m:t>
        </m:r>
      </m:oMath>
      <w:r>
        <w:t xml:space="preserve"> </w:t>
      </w:r>
      <w:r>
        <w:t xml:space="preserve">is projected across municipal departments</w:t>
      </w:r>
      <w:r>
        <w:t xml:space="preserve"> </w:t>
      </w:r>
      <m:oMath>
        <m:r>
          <m:t>k</m:t>
        </m:r>
        <m:r>
          <m:rPr>
            <m:sty m:val="p"/>
          </m:rPr>
          <m:t>∈</m:t>
        </m:r>
        <m:r>
          <m:rPr>
            <m:sty m:val="p"/>
          </m:rPr>
          <m:t>{</m:t>
        </m:r>
        <m:r>
          <m:t>1</m:t>
        </m:r>
        <m:r>
          <m:rPr>
            <m:sty m:val="p"/>
          </m:rPr>
          <m:t>,</m:t>
        </m:r>
        <m:r>
          <m:rPr>
            <m:sty m:val="p"/>
          </m:rPr>
          <m:t>…</m:t>
        </m:r>
        <m:r>
          <m:rPr>
            <m:sty m:val="p"/>
          </m:rPr>
          <m:t>,</m:t>
        </m:r>
        <m:r>
          <m:t>6</m:t>
        </m:r>
        <m:r>
          <m:rPr>
            <m:sty m:val="p"/>
          </m:rPr>
          <m:t>}</m:t>
        </m:r>
      </m:oMath>
      <w:r>
        <w:t xml:space="preserve"> </w:t>
      </w:r>
      <w:r>
        <w:t xml:space="preserve">via regularized multiclass softmax:</w:t>
      </w:r>
    </w:p>
    <w:p>
      <w:pPr>
        <w:pStyle w:val="BodyText"/>
      </w:pPr>
      <m:oMathPara>
        <m:oMathParaPr>
          <m:jc m:val="center"/>
        </m:oMathParaPr>
        <m:oMath>
          <m:r>
            <m:t>P</m:t>
          </m:r>
          <m:r>
            <m:rPr>
              <m:sty m:val="p"/>
            </m:rPr>
            <m:t>(</m:t>
          </m:r>
          <m:sSub>
            <m:e>
              <m:r>
                <m:rPr>
                  <m:nor/>
                  <m:sty m:val="p"/>
                </m:rPr>
                <m:t>Dept</m:t>
              </m:r>
            </m:e>
            <m:sub>
              <m:r>
                <m:t>k</m:t>
              </m:r>
            </m:sub>
          </m:sSub>
          <m:r>
            <m:rPr>
              <m:sty m:val="p"/>
            </m:rPr>
            <m:t>∣</m:t>
          </m:r>
          <m:r>
            <m:rPr>
              <m:sty m:val="b"/>
            </m:rPr>
            <m:t>x</m:t>
          </m:r>
          <m:r>
            <m:rPr>
              <m:sty m:val="p"/>
            </m:rPr>
            <m:t>)</m:t>
          </m:r>
          <m:r>
            <m:rPr>
              <m:sty m:val="p"/>
            </m:rPr>
            <m:t>=</m:t>
          </m:r>
          <m:f>
            <m:fPr>
              <m:type m:val="bar"/>
            </m:fPr>
            <m:num>
              <m:r>
                <m:rPr>
                  <m:sty m:val="p"/>
                </m:rPr>
                <m:t>exp</m:t>
              </m:r>
              <m:r>
                <m:rPr>
                  <m:sty m:val="p"/>
                </m:rPr>
                <m:t>(</m:t>
              </m:r>
              <m:sSubSup>
                <m:e>
                  <m:r>
                    <m:rPr>
                      <m:sty m:val="b"/>
                    </m:rPr>
                    <m:t>w</m:t>
                  </m:r>
                </m:e>
                <m:sub>
                  <m:r>
                    <m:t>k</m:t>
                  </m:r>
                </m:sub>
                <m:sup>
                  <m:r>
                    <m:t>T</m:t>
                  </m:r>
                </m:sup>
              </m:sSubSup>
              <m:r>
                <m:rPr>
                  <m:sty m:val="b"/>
                </m:rPr>
                <m:t>x</m:t>
              </m:r>
              <m:r>
                <m:rPr>
                  <m:sty m:val="p"/>
                </m:rPr>
                <m:t>+</m:t>
              </m:r>
              <m:sSub>
                <m:e>
                  <m:r>
                    <m:t>b</m:t>
                  </m:r>
                </m:e>
                <m:sub>
                  <m:r>
                    <m:t>k</m:t>
                  </m:r>
                </m:sub>
              </m:sSub>
              <m:r>
                <m:rPr>
                  <m:sty m:val="p"/>
                </m:rPr>
                <m:t>)</m:t>
              </m:r>
            </m:num>
            <m:den>
              <m:nary>
                <m:naryPr>
                  <m:chr m:val="∑"/>
                  <m:limLoc m:val="undOvr"/>
                  <m:subHide m:val="off"/>
                  <m:supHide m:val="off"/>
                </m:naryPr>
                <m:sub>
                  <m:r>
                    <m:t>j</m:t>
                  </m:r>
                  <m:r>
                    <m:rPr>
                      <m:sty m:val="p"/>
                    </m:rPr>
                    <m:t>=</m:t>
                  </m:r>
                  <m:r>
                    <m:t>1</m:t>
                  </m:r>
                </m:sub>
                <m:sup>
                  <m:r>
                    <m:t>6</m:t>
                  </m:r>
                </m:sup>
                <m:e>
                  <m:r>
                    <m:rPr>
                      <m:sty m:val="p"/>
                    </m:rPr>
                    <m:t>exp</m:t>
                  </m:r>
                </m:e>
              </m:nary>
              <m:r>
                <m:rPr>
                  <m:sty m:val="p"/>
                </m:rPr>
                <m:t>(</m:t>
              </m:r>
              <m:sSubSup>
                <m:e>
                  <m:r>
                    <m:rPr>
                      <m:sty m:val="b"/>
                    </m:rPr>
                    <m:t>w</m:t>
                  </m:r>
                </m:e>
                <m:sub>
                  <m:r>
                    <m:t>j</m:t>
                  </m:r>
                </m:sub>
                <m:sup>
                  <m:r>
                    <m:t>T</m:t>
                  </m:r>
                </m:sup>
              </m:sSubSup>
              <m:r>
                <m:rPr>
                  <m:sty m:val="b"/>
                </m:rPr>
                <m:t>x</m:t>
              </m:r>
              <m:r>
                <m:rPr>
                  <m:sty m:val="p"/>
                </m:rPr>
                <m:t>+</m:t>
              </m:r>
              <m:sSub>
                <m:e>
                  <m:r>
                    <m:t>b</m:t>
                  </m:r>
                </m:e>
                <m:sub>
                  <m:r>
                    <m:t>j</m:t>
                  </m:r>
                </m:sub>
              </m:sSub>
              <m:r>
                <m:rPr>
                  <m:sty m:val="p"/>
                </m:rPr>
                <m:t>)</m:t>
              </m:r>
            </m:den>
          </m:f>
        </m:oMath>
      </m:oMathPara>
    </w:p>
    <w:bookmarkEnd w:id="27"/>
    <w:bookmarkStart w:id="28" w:name="Xe85f05f8b96010a2dbfd09dd6b54b8b48e1c0c8"/>
    <w:p>
      <w:pPr>
        <w:pStyle w:val="Heading2"/>
      </w:pPr>
      <w:r>
        <w:t xml:space="preserve">Workload-Aware Dynamic Multi-Department Routing</w:t>
      </w:r>
    </w:p>
    <w:p>
      <w:pPr>
        <w:pStyle w:val="FirstParagraph"/>
      </w:pPr>
      <w:r>
        <w:t xml:space="preserve">The multi-criteria priority score</w:t>
      </w:r>
      <w:r>
        <w:t xml:space="preserve"> </w:t>
      </w:r>
      <m:oMath>
        <m:r>
          <m:rPr>
            <m:sty m:val="p"/>
          </m:rPr>
          <m:t>Π</m:t>
        </m:r>
        <m:r>
          <m:rPr>
            <m:sty m:val="p"/>
          </m:rPr>
          <m:t>(</m:t>
        </m:r>
        <m:r>
          <m:t>g</m:t>
        </m:r>
        <m:r>
          <m:rPr>
            <m:sty m:val="p"/>
          </m:rPr>
          <m:t>)</m:t>
        </m:r>
        <m:r>
          <m:rPr>
            <m:sty m:val="p"/>
          </m:rPr>
          <m:t>∈</m:t>
        </m:r>
        <m:r>
          <m:rPr>
            <m:sty m:val="p"/>
          </m:rPr>
          <m:t>[</m:t>
        </m:r>
        <m:r>
          <m:t>0</m:t>
        </m:r>
        <m:r>
          <m:rPr>
            <m:sty m:val="p"/>
          </m:rPr>
          <m:t>,</m:t>
        </m:r>
        <m:r>
          <m:t>100</m:t>
        </m:r>
        <m:r>
          <m:rPr>
            <m:sty m:val="p"/>
          </m:rPr>
          <m:t>]</m:t>
        </m:r>
      </m:oMath>
      <w:r>
        <w:t xml:space="preserve"> </w:t>
      </w:r>
      <w:r>
        <w:t xml:space="preserve">for grievance</w:t>
      </w:r>
      <w:r>
        <w:t xml:space="preserve"> </w:t>
      </w:r>
      <m:oMath>
        <m:r>
          <m:t>g</m:t>
        </m:r>
      </m:oMath>
      <w:r>
        <w:t xml:space="preserve"> </w:t>
      </w:r>
      <w:r>
        <w:t xml:space="preserve">is formulated as:</w:t>
      </w:r>
    </w:p>
    <w:p>
      <w:pPr>
        <w:pStyle w:val="BodyText"/>
      </w:pPr>
      <m:oMathPara>
        <m:oMathParaPr>
          <m:jc m:val="center"/>
        </m:oMathParaPr>
        <m:oMath>
          <m:r>
            <m:rPr>
              <m:sty m:val="p"/>
            </m:rPr>
            <m:t>Π</m:t>
          </m:r>
          <m:r>
            <m:rPr>
              <m:sty m:val="p"/>
            </m:rPr>
            <m:t>(</m:t>
          </m:r>
          <m:r>
            <m:t>g</m:t>
          </m:r>
          <m:r>
            <m:rPr>
              <m:sty m:val="p"/>
            </m:rPr>
            <m:t>)</m:t>
          </m:r>
          <m:r>
            <m:rPr>
              <m:sty m:val="p"/>
            </m:rPr>
            <m:t>=</m:t>
          </m:r>
          <m:r>
            <m:rPr>
              <m:sty m:val="p"/>
            </m:rPr>
            <m:t>min</m:t>
          </m:r>
          <m:d>
            <m:dPr>
              <m:begChr m:val="("/>
              <m:sepChr m:val=""/>
              <m:endChr m:val=")"/>
              <m:grow/>
            </m:dPr>
            <m:e>
              <m:r>
                <m:t>100</m:t>
              </m:r>
              <m:r>
                <m:rPr>
                  <m:sty m:val="p"/>
                </m:rPr>
                <m:t>,</m:t>
              </m:r>
              <m:sSub>
                <m:e>
                  <m:r>
                    <m:t>S</m:t>
                  </m:r>
                </m:e>
                <m:sub>
                  <m:r>
                    <m:rPr>
                      <m:nor/>
                      <m:sty m:val="p"/>
                    </m:rPr>
                    <m:t>base</m:t>
                  </m:r>
                </m:sub>
              </m:sSub>
              <m:r>
                <m:rPr>
                  <m:sty m:val="p"/>
                </m:rPr>
                <m:t>(</m:t>
              </m:r>
              <m:r>
                <m:t>g</m:t>
              </m:r>
              <m:r>
                <m:rPr>
                  <m:sty m:val="p"/>
                </m:rPr>
                <m:t>.</m:t>
              </m:r>
              <m:r>
                <m:rPr>
                  <m:nor/>
                  <m:sty m:val="p"/>
                </m:rPr>
                <m:t>severity</m:t>
              </m:r>
              <m:r>
                <m:rPr>
                  <m:sty m:val="p"/>
                </m:rPr>
                <m:t>)</m:t>
              </m:r>
              <m:r>
                <m:rPr>
                  <m:sty m:val="p"/>
                </m:rPr>
                <m:t>+</m:t>
              </m:r>
              <m:sSub>
                <m:e>
                  <m:r>
                    <m:t>δ</m:t>
                  </m:r>
                </m:e>
                <m:sub>
                  <m:r>
                    <m:rPr>
                      <m:nor/>
                      <m:sty m:val="p"/>
                    </m:rPr>
                    <m:t>prox</m:t>
                  </m:r>
                </m:sub>
              </m:sSub>
              <m:r>
                <m:rPr>
                  <m:sty m:val="p"/>
                </m:rPr>
                <m:t>⋅</m:t>
              </m:r>
              <m:r>
                <m:rPr>
                  <m:scr m:val="double-struck"/>
                  <m:sty m:val="p"/>
                </m:rPr>
                <m:t>I</m:t>
              </m:r>
              <m:r>
                <m:rPr>
                  <m:sty m:val="p"/>
                </m:rPr>
                <m:t>(</m:t>
              </m:r>
              <m:r>
                <m:t>d</m:t>
              </m:r>
              <m:r>
                <m:rPr>
                  <m:sty m:val="p"/>
                </m:rPr>
                <m:t>(</m:t>
              </m:r>
              <m:r>
                <m:t>g</m:t>
              </m:r>
              <m:r>
                <m:rPr>
                  <m:sty m:val="p"/>
                </m:rPr>
                <m:t>,</m:t>
              </m:r>
              <m:sSub>
                <m:e>
                  <m:r>
                    <m:rPr>
                      <m:scr m:val="script"/>
                      <m:sty m:val="p"/>
                    </m:rPr>
                    <m:t>A</m:t>
                  </m:r>
                </m:e>
                <m:sub>
                  <m:r>
                    <m:rPr>
                      <m:nor/>
                      <m:sty m:val="p"/>
                    </m:rPr>
                    <m:t>crit</m:t>
                  </m:r>
                </m:sub>
              </m:sSub>
              <m:r>
                <m:rPr>
                  <m:sty m:val="p"/>
                </m:rPr>
                <m:t>)</m:t>
              </m:r>
              <m:r>
                <m:rPr>
                  <m:sty m:val="p"/>
                </m:rPr>
                <m:t>&lt;</m:t>
              </m:r>
              <m:r>
                <m:t>ρ</m:t>
              </m:r>
              <m:r>
                <m:rPr>
                  <m:sty m:val="p"/>
                </m:rPr>
                <m:t>)</m:t>
              </m:r>
            </m:e>
          </m:d>
        </m:oMath>
      </m:oMathPara>
    </w:p>
    <w:p>
      <w:pPr>
        <w:pStyle w:val="FirstParagraph"/>
      </w:pPr>
      <w:r>
        <w:t xml:space="preserve">where</w:t>
      </w:r>
      <w:r>
        <w:t xml:space="preserve"> </w:t>
      </w:r>
      <m:oMath>
        <m:sSub>
          <m:e>
            <m:r>
              <m:t>S</m:t>
            </m:r>
          </m:e>
          <m:sub>
            <m:r>
              <m:rPr>
                <m:nor/>
                <m:sty m:val="p"/>
              </m:rPr>
              <m:t>base</m:t>
            </m:r>
          </m:sub>
        </m:sSub>
        <m:r>
          <m:rPr>
            <m:sty m:val="p"/>
          </m:rPr>
          <m:t>∈</m:t>
        </m:r>
        <m:r>
          <m:rPr>
            <m:sty m:val="p"/>
          </m:rPr>
          <m:t>{</m:t>
        </m:r>
        <m:r>
          <m:t>25</m:t>
        </m:r>
        <m:r>
          <m:rPr>
            <m:sty m:val="p"/>
          </m:rPr>
          <m:t>,</m:t>
        </m:r>
        <m:r>
          <m:t>50</m:t>
        </m:r>
        <m:r>
          <m:rPr>
            <m:sty m:val="p"/>
          </m:rPr>
          <m:t>,</m:t>
        </m:r>
        <m:r>
          <m:t>75</m:t>
        </m:r>
        <m:r>
          <m:rPr>
            <m:sty m:val="p"/>
          </m:rPr>
          <m:t>,</m:t>
        </m:r>
        <m:r>
          <m:t>90</m:t>
        </m:r>
        <m:r>
          <m:rPr>
            <m:sty m:val="p"/>
          </m:rPr>
          <m:t>}</m:t>
        </m:r>
      </m:oMath>
      <w:r>
        <w:t xml:space="preserve"> </w:t>
      </w:r>
      <w:r>
        <w:t xml:space="preserve">denotes severity tier, and</w:t>
      </w:r>
      <w:r>
        <w:t xml:space="preserve"> </w:t>
      </w:r>
      <m:oMath>
        <m:sSub>
          <m:e>
            <m:r>
              <m:t>δ</m:t>
            </m:r>
          </m:e>
          <m:sub>
            <m:r>
              <m:rPr>
                <m:nor/>
                <m:sty m:val="p"/>
              </m:rPr>
              <m:t>prox</m:t>
            </m:r>
          </m:sub>
        </m:sSub>
        <m:r>
          <m:rPr>
            <m:sty m:val="p"/>
          </m:rPr>
          <m:t>=</m:t>
        </m:r>
        <m:r>
          <m:t>10</m:t>
        </m:r>
      </m:oMath>
      <w:r>
        <w:t xml:space="preserve"> </w:t>
      </w:r>
      <w:r>
        <w:t xml:space="preserve">boosts complaints within</w:t>
      </w:r>
      <w:r>
        <w:t xml:space="preserve"> </w:t>
      </w:r>
      <m:oMath>
        <m:r>
          <m:t>ρ</m:t>
        </m:r>
        <m:r>
          <m:rPr>
            <m:sty m:val="p"/>
          </m:rPr>
          <m:t>=</m:t>
        </m:r>
        <m:r>
          <m:t>100</m:t>
        </m:r>
        <m:r>
          <m:t> </m:t>
        </m:r>
        <m:r>
          <m:rPr>
            <m:nor/>
            <m:sty m:val="p"/>
          </m:rPr>
          <m:t>m</m:t>
        </m:r>
      </m:oMath>
      <w:r>
        <w:t xml:space="preserve"> </w:t>
      </w:r>
      <w:r>
        <w:t xml:space="preserve">of critical civic infrastructure</w:t>
      </w:r>
      <w:r>
        <w:t xml:space="preserve"> </w:t>
      </w:r>
      <m:oMath>
        <m:sSub>
          <m:e>
            <m:r>
              <m:rPr>
                <m:scr m:val="script"/>
                <m:sty m:val="p"/>
              </m:rPr>
              <m:t>A</m:t>
            </m:r>
          </m:e>
          <m:sub>
            <m:r>
              <m:rPr>
                <m:nor/>
                <m:sty m:val="p"/>
              </m:rPr>
              <m:t>crit</m:t>
            </m:r>
          </m:sub>
        </m:sSub>
      </m:oMath>
      <w:r>
        <w:t xml:space="preserve">.</w:t>
      </w:r>
    </w:p>
    <w:p>
      <w:pPr>
        <w:pStyle w:val="BodyText"/>
      </w:pPr>
      <w:r>
        <w:t xml:space="preserve">Within department</w:t>
      </w:r>
      <w:r>
        <w:t xml:space="preserve"> </w:t>
      </w:r>
      <m:oMath>
        <m:r>
          <m:t>D</m:t>
        </m:r>
        <m:r>
          <m:rPr>
            <m:sty m:val="p"/>
          </m:rPr>
          <m:t>=</m:t>
        </m:r>
        <m:r>
          <m:rPr>
            <m:nor/>
            <m:sty m:val="p"/>
          </m:rPr>
          <m:t>Dept</m:t>
        </m:r>
        <m:r>
          <m:rPr>
            <m:sty m:val="p"/>
          </m:rPr>
          <m:t>(</m:t>
        </m:r>
        <m:r>
          <m:t>g</m:t>
        </m:r>
        <m:r>
          <m:rPr>
            <m:sty m:val="p"/>
          </m:rPr>
          <m:t>)</m:t>
        </m:r>
      </m:oMath>
      <w:r>
        <w:t xml:space="preserve">, the complaint is assigned to operator</w:t>
      </w:r>
      <w:r>
        <w:t xml:space="preserve"> </w:t>
      </w:r>
      <m:oMath>
        <m:sSup>
          <m:e>
            <m:r>
              <m:t>o</m:t>
            </m:r>
          </m:e>
          <m:sup>
            <m:r>
              <m:rPr>
                <m:sty m:val="p"/>
              </m:rPr>
              <m:t>*</m:t>
            </m:r>
          </m:sup>
        </m:sSup>
        <m:r>
          <m:rPr>
            <m:sty m:val="p"/>
          </m:rPr>
          <m:t>∈</m:t>
        </m:r>
        <m:sSub>
          <m:e>
            <m:r>
              <m:rPr>
                <m:scr m:val="script"/>
                <m:sty m:val="p"/>
              </m:rPr>
              <m:t>O</m:t>
            </m:r>
          </m:e>
          <m:sub>
            <m:r>
              <m:t>D</m:t>
            </m:r>
          </m:sub>
        </m:sSub>
      </m:oMath>
      <w:r>
        <w:t xml:space="preserve"> </w:t>
      </w:r>
      <w:r>
        <w:t xml:space="preserve">minimizing active queue occupancy:</w:t>
      </w:r>
    </w:p>
    <w:p>
      <w:pPr>
        <w:pStyle w:val="BodyText"/>
      </w:pPr>
      <m:oMathPara>
        <m:oMathParaPr>
          <m:jc m:val="center"/>
        </m:oMathParaPr>
        <m:oMath>
          <m:sSup>
            <m:e>
              <m:r>
                <m:t>o</m:t>
              </m:r>
            </m:e>
            <m:sup>
              <m:r>
                <m:rPr>
                  <m:sty m:val="p"/>
                </m:rPr>
                <m:t>*</m:t>
              </m:r>
            </m:sup>
          </m:sSup>
          <m:r>
            <m:rPr>
              <m:sty m:val="p"/>
            </m:rPr>
            <m:t>=</m:t>
          </m:r>
          <m:r>
            <m:rPr>
              <m:sty m:val="p"/>
            </m:rPr>
            <m:t>arg</m:t>
          </m:r>
          <m:limLow>
            <m:e>
              <m:r>
                <m:rPr>
                  <m:sty m:val="p"/>
                </m:rPr>
                <m:t>min</m:t>
              </m:r>
            </m:e>
            <m:lim>
              <m:r>
                <m:t>o</m:t>
              </m:r>
              <m:r>
                <m:rPr>
                  <m:sty m:val="p"/>
                </m:rPr>
                <m:t>∈</m:t>
              </m:r>
              <m:sSub>
                <m:e>
                  <m:r>
                    <m:rPr>
                      <m:scr m:val="script"/>
                      <m:sty m:val="p"/>
                    </m:rPr>
                    <m:t>O</m:t>
                  </m:r>
                </m:e>
                <m:sub>
                  <m:r>
                    <m:t>D</m:t>
                  </m:r>
                </m:sub>
              </m:sSub>
            </m:lim>
          </m:limLow>
          <m:d>
            <m:dPr>
              <m:begChr m:val="("/>
              <m:sepChr m:val=""/>
              <m:endChr m:val=")"/>
              <m:grow/>
            </m:dPr>
            <m:e>
              <m:f>
                <m:fPr>
                  <m:type m:val="bar"/>
                </m:fPr>
                <m:num>
                  <m:r>
                    <m:rPr>
                      <m:nor/>
                      <m:sty m:val="p"/>
                    </m:rPr>
                    <m:t>ActiveTickets</m:t>
                  </m:r>
                  <m:r>
                    <m:rPr>
                      <m:sty m:val="p"/>
                    </m:rPr>
                    <m:t>(</m:t>
                  </m:r>
                  <m:r>
                    <m:t>o</m:t>
                  </m:r>
                  <m:r>
                    <m:rPr>
                      <m:sty m:val="p"/>
                    </m:rPr>
                    <m:t>)</m:t>
                  </m:r>
                </m:num>
                <m:den>
                  <m:r>
                    <m:rPr>
                      <m:nor/>
                      <m:sty m:val="p"/>
                    </m:rPr>
                    <m:t>MaxCapacity</m:t>
                  </m:r>
                  <m:r>
                    <m:rPr>
                      <m:sty m:val="p"/>
                    </m:rPr>
                    <m:t>(</m:t>
                  </m:r>
                  <m:r>
                    <m:t>o</m:t>
                  </m:r>
                  <m:r>
                    <m:rPr>
                      <m:sty m:val="p"/>
                    </m:rPr>
                    <m:t>)</m:t>
                  </m:r>
                </m:den>
              </m:f>
            </m:e>
          </m:d>
        </m:oMath>
      </m:oMathPara>
    </w:p>
    <w:bookmarkEnd w:id="28"/>
    <w:bookmarkStart w:id="33" w:name="d-digital-twin-hazard-aware-navigation"/>
    <w:p>
      <w:pPr>
        <w:pStyle w:val="Heading2"/>
      </w:pPr>
      <w:r>
        <w:t xml:space="preserve">3D Digital Twin &amp; Hazard-Aware Navigation</w:t>
      </w:r>
    </w:p>
    <w:p>
      <w:pPr>
        <w:pStyle w:val="FirstParagraph"/>
      </w:pPr>
      <w:r>
        <w:t xml:space="preserve">Fig. </w:t>
      </w:r>
      <w:hyperlink w:anchor="fig:sequence">
        <w:r>
          <w:rPr>
            <w:rStyle w:val="Hyperlink"/>
          </w:rPr>
          <w:t xml:space="preserve">3.2</w:t>
        </w:r>
      </w:hyperlink>
      <w:r>
        <w:t xml:space="preserve"> </w:t>
      </w:r>
      <w:r>
        <w:t xml:space="preserve">depicts the complete sequence execution from citizen 3D raycast picking to closed-loop digital twin resolution.</w:t>
      </w:r>
    </w:p>
    <w:bookmarkStart w:id="32" w:name="fig:sequence"/>
    <w:p>
      <w:pPr>
        <w:pStyle w:val="CaptionedFigure"/>
      </w:pPr>
      <w:r>
        <w:drawing>
          <wp:inline>
            <wp:extent cx="5067300" cy="2803187"/>
            <wp:effectExtent b="0" l="0" r="0" t="0"/>
            <wp:docPr descr="" title="" id="30" name="Picture"/>
            <a:graphic>
              <a:graphicData uri="http://schemas.openxmlformats.org/drawingml/2006/picture">
                <pic:pic>
                  <pic:nvPicPr>
                    <pic:cNvPr descr="fig3_sequence.png" id="31" name="Picture"/>
                    <pic:cNvPicPr>
                      <a:picLocks noChangeArrowheads="1" noChangeAspect="1"/>
                    </pic:cNvPicPr>
                  </pic:nvPicPr>
                  <pic:blipFill>
                    <a:blip r:embed="rId29"/>
                    <a:stretch>
                      <a:fillRect/>
                    </a:stretch>
                  </pic:blipFill>
                  <pic:spPr bwMode="auto">
                    <a:xfrm>
                      <a:off x="0" y="0"/>
                      <a:ext cx="5067300" cy="2803187"/>
                    </a:xfrm>
                    <a:prstGeom prst="rect">
                      <a:avLst/>
                    </a:prstGeom>
                    <a:noFill/>
                    <a:ln w="9525">
                      <a:noFill/>
                      <a:headEnd/>
                      <a:tailEnd/>
                    </a:ln>
                  </pic:spPr>
                </pic:pic>
              </a:graphicData>
            </a:graphic>
          </wp:inline>
        </w:drawing>
      </w:r>
    </w:p>
    <w:p>
      <w:pPr>
        <w:pStyle w:val="ImageCaption"/>
      </w:pPr>
      <w:r>
        <w:t xml:space="preserve">UML Sequence Diagram: End-to-End Citizen Reporting, Vision Inference, and Closed-Loop Pin Removal.</w:t>
      </w:r>
    </w:p>
    <w:bookmarkEnd w:id="32"/>
    <w:p>
      <w:pPr>
        <w:pStyle w:val="BodyText"/>
      </w:pPr>
      <w:r>
        <w:t xml:space="preserve">The topological road network is formulated as an adjacency graph</w:t>
      </w:r>
      <w:r>
        <w:t xml:space="preserve"> </w:t>
      </w:r>
      <m:oMath>
        <m:sSub>
          <m:e>
            <m:r>
              <m:t>G</m:t>
            </m:r>
          </m:e>
          <m:sub>
            <m:r>
              <m:rPr>
                <m:nor/>
                <m:sty m:val="p"/>
              </m:rPr>
              <m:t>road</m:t>
            </m:r>
          </m:sub>
        </m:sSub>
        <m:r>
          <m:rPr>
            <m:sty m:val="p"/>
          </m:rPr>
          <m:t>=</m:t>
        </m:r>
        <m:r>
          <m:rPr>
            <m:sty m:val="p"/>
          </m:rPr>
          <m:t>(</m:t>
        </m:r>
        <m:sSub>
          <m:e>
            <m:r>
              <m:t>V</m:t>
            </m:r>
          </m:e>
          <m:sub>
            <m:r>
              <m:t>r</m:t>
            </m:r>
          </m:sub>
        </m:sSub>
        <m:r>
          <m:rPr>
            <m:sty m:val="p"/>
          </m:rPr>
          <m:t>,</m:t>
        </m:r>
        <m:sSub>
          <m:e>
            <m:r>
              <m:t>E</m:t>
            </m:r>
          </m:e>
          <m:sub>
            <m:r>
              <m:t>r</m:t>
            </m:r>
          </m:sub>
        </m:sSub>
        <m:r>
          <m:rPr>
            <m:sty m:val="p"/>
          </m:rPr>
          <m:t>)</m:t>
        </m:r>
      </m:oMath>
      <w:r>
        <w:t xml:space="preserve">. When severe road hazards occur, edge traversal weights are dynamically augmented:</w:t>
      </w:r>
    </w:p>
    <w:p>
      <w:pPr>
        <w:pStyle w:val="BodyText"/>
      </w:pPr>
      <m:oMathPara>
        <m:oMathParaPr>
          <m:jc m:val="center"/>
        </m:oMathParaPr>
        <m:oMath>
          <m:r>
            <m:t>W</m:t>
          </m:r>
          <m:r>
            <m:rPr>
              <m:sty m:val="p"/>
            </m:rPr>
            <m:t>(</m:t>
          </m:r>
          <m:r>
            <m:t>u</m:t>
          </m:r>
          <m:r>
            <m:rPr>
              <m:sty m:val="p"/>
            </m:rPr>
            <m:t>,</m:t>
          </m:r>
          <m:r>
            <m:t>v</m:t>
          </m:r>
          <m:r>
            <m:rPr>
              <m:sty m:val="p"/>
            </m:rPr>
            <m:t>)</m:t>
          </m:r>
          <m:r>
            <m:rPr>
              <m:sty m:val="p"/>
            </m:rPr>
            <m:t>=</m:t>
          </m:r>
          <m:r>
            <m:rPr>
              <m:nor/>
              <m:sty m:val="p"/>
            </m:rPr>
            <m:t>Length</m:t>
          </m:r>
          <m:r>
            <m:rPr>
              <m:sty m:val="p"/>
            </m:rPr>
            <m:t>(</m:t>
          </m:r>
          <m:r>
            <m:t>u</m:t>
          </m:r>
          <m:r>
            <m:rPr>
              <m:sty m:val="p"/>
            </m:rPr>
            <m:t>,</m:t>
          </m:r>
          <m:r>
            <m:t>v</m:t>
          </m:r>
          <m:r>
            <m:rPr>
              <m:sty m:val="p"/>
            </m:rPr>
            <m:t>)</m:t>
          </m:r>
          <m:r>
            <m:rPr>
              <m:sty m:val="p"/>
            </m:rPr>
            <m:t>⋅</m:t>
          </m:r>
          <m:d>
            <m:dPr>
              <m:begChr m:val="("/>
              <m:sepChr m:val=""/>
              <m:endChr m:val=")"/>
              <m:grow/>
            </m:dPr>
            <m:e>
              <m:r>
                <m:t>1</m:t>
              </m:r>
              <m:r>
                <m:rPr>
                  <m:sty m:val="p"/>
                </m:rPr>
                <m:t>+</m:t>
              </m:r>
              <m:nary>
                <m:naryPr>
                  <m:chr m:val="∑"/>
                  <m:limLoc m:val="undOvr"/>
                  <m:subHide m:val="off"/>
                  <m:supHide m:val="on"/>
                </m:naryPr>
                <m:sub>
                  <m:r>
                    <m:t>g</m:t>
                  </m:r>
                  <m:r>
                    <m:rPr>
                      <m:sty m:val="p"/>
                    </m:rPr>
                    <m:t>∈</m:t>
                  </m:r>
                  <m:sSub>
                    <m:e>
                      <m:r>
                        <m:rPr>
                          <m:scr m:val="script"/>
                          <m:sty m:val="p"/>
                        </m:rPr>
                        <m:t>G</m:t>
                      </m:r>
                    </m:e>
                    <m:sub>
                      <m:r>
                        <m:rPr>
                          <m:nor/>
                          <m:sty m:val="p"/>
                        </m:rPr>
                        <m:t>active</m:t>
                      </m:r>
                    </m:sub>
                  </m:sSub>
                </m:sub>
                <m:sup>
                  <m:r>
                    <m:t>​</m:t>
                  </m:r>
                </m:sup>
                <m:e>
                  <m:r>
                    <m:t>α</m:t>
                  </m:r>
                </m:e>
              </m:nary>
              <m:r>
                <m:rPr>
                  <m:sty m:val="p"/>
                </m:rPr>
                <m:t>⋅</m:t>
              </m:r>
              <m:r>
                <m:rPr>
                  <m:sty m:val="p"/>
                </m:rPr>
                <m:t>Π</m:t>
              </m:r>
              <m:r>
                <m:rPr>
                  <m:sty m:val="p"/>
                </m:rPr>
                <m:t>(</m:t>
              </m:r>
              <m:r>
                <m:t>g</m:t>
              </m:r>
              <m:r>
                <m:rPr>
                  <m:sty m:val="p"/>
                </m:rPr>
                <m:t>)</m:t>
              </m:r>
              <m:r>
                <m:rPr>
                  <m:sty m:val="p"/>
                </m:rPr>
                <m:t>⋅</m:t>
              </m:r>
              <m:sSup>
                <m:e>
                  <m:r>
                    <m:t>e</m:t>
                  </m:r>
                </m:e>
                <m:sup>
                  <m:r>
                    <m:rPr>
                      <m:sty m:val="p"/>
                    </m:rPr>
                    <m:t>−</m:t>
                  </m:r>
                  <m:f>
                    <m:fPr>
                      <m:type m:val="bar"/>
                    </m:fPr>
                    <m:num>
                      <m:r>
                        <m:t>d</m:t>
                      </m:r>
                      <m:r>
                        <m:rPr>
                          <m:sty m:val="p"/>
                        </m:rPr>
                        <m:t>(</m:t>
                      </m:r>
                      <m:r>
                        <m:t>g</m:t>
                      </m:r>
                      <m:r>
                        <m:rPr>
                          <m:sty m:val="p"/>
                        </m:rPr>
                        <m:t>,</m:t>
                      </m:r>
                      <m:r>
                        <m:t>e</m:t>
                      </m:r>
                      <m:sSup>
                        <m:e>
                          <m:r>
                            <m:rPr>
                              <m:sty m:val="p"/>
                            </m:rPr>
                            <m:t>)</m:t>
                          </m:r>
                        </m:e>
                        <m:sup>
                          <m:r>
                            <m:t>2</m:t>
                          </m:r>
                        </m:sup>
                      </m:sSup>
                    </m:num>
                    <m:den>
                      <m:r>
                        <m:t>2</m:t>
                      </m:r>
                      <m:sSup>
                        <m:e>
                          <m:r>
                            <m:t>σ</m:t>
                          </m:r>
                        </m:e>
                        <m:sup>
                          <m:r>
                            <m:t>2</m:t>
                          </m:r>
                        </m:sup>
                      </m:sSup>
                    </m:den>
                  </m:f>
                </m:sup>
              </m:sSup>
            </m:e>
          </m:d>
        </m:oMath>
      </m:oMathPara>
    </w:p>
    <w:p>
      <w:pPr>
        <w:pStyle w:val="FirstParagraph"/>
      </w:pPr>
      <w:r>
        <w:t xml:space="preserve">enabling emergency dispatchers and citizens to navigate around verified hazards in real time.</w:t>
      </w:r>
    </w:p>
    <w:bookmarkEnd w:id="33"/>
    <w:bookmarkEnd w:id="34"/>
    <w:bookmarkStart w:id="40" w:name="performance-metrics"/>
    <w:p>
      <w:pPr>
        <w:pStyle w:val="Heading1"/>
      </w:pPr>
      <w:r>
        <w:t xml:space="preserve">PERFORMANCE METRICS</w:t>
      </w:r>
    </w:p>
    <w:bookmarkStart w:id="37" w:name="Xf51f22253f46d908176e10b4b5e825ec7e1bf35"/>
    <w:p>
      <w:pPr>
        <w:pStyle w:val="Heading2"/>
      </w:pPr>
      <w:r>
        <w:t xml:space="preserve">Evaluation of CivicVision-v1.4 Computer Vision Classifier</w:t>
      </w:r>
    </w:p>
    <w:p>
      <w:pPr>
        <w:pStyle w:val="FirstParagraph"/>
      </w:pPr>
      <w:r>
        <w:t xml:space="preserve">The</w:t>
      </w:r>
      <w:r>
        <w:t xml:space="preserve"> </w:t>
      </w:r>
      <w:r>
        <w:rPr>
          <w:i/>
          <w:iCs/>
        </w:rPr>
        <w:t xml:space="preserve">CivicVision-v1.4</w:t>
      </w:r>
      <w:r>
        <w:t xml:space="preserve"> </w:t>
      </w:r>
      <w:r>
        <w:t xml:space="preserve">model was evaluated using a 75/25 stratified train/test split across 120 verified municipal defect photographs collected across PCMC. Table </w:t>
      </w:r>
      <w:hyperlink w:anchor="tab:metrics">
        <w:r>
          <w:rPr>
            <w:rStyle w:val="Hyperlink"/>
          </w:rPr>
          <w:t xml:space="preserve">4.1</w:t>
        </w:r>
      </w:hyperlink>
      <w:r>
        <w:t xml:space="preserve"> </w:t>
      </w:r>
      <w:r>
        <w:t xml:space="preserve">outlines the empirical classification metrics across all six municipal departments.</w:t>
      </w:r>
    </w:p>
    <w:bookmarkStart w:id="35" w:name="tab:metrics"/>
    <w:p>
      <w:pPr>
        <w:pStyle w:val="TableCaption"/>
      </w:pPr>
      <w:r>
        <w:t xml:space="preserve">CivicVision-v1.4 Department Classification Performance</w:t>
      </w:r>
    </w:p>
    <w:tbl>
      <w:tblPr>
        <w:tblStyle w:val="Table"/>
        <w:tblW w:type="auto" w:w="0"/>
        <w:tblLook w:firstRow="1" w:lastRow="0" w:firstColumn="0" w:lastColumn="0" w:noHBand="0" w:noVBand="0" w:val="0020"/>
        <w:tblCaption w:val="CivicVision-v1.4 Department Classification Performance"/>
      </w:tblPr>
      <w:tblGrid>
        <w:gridCol w:w="1584"/>
        <w:gridCol w:w="1584"/>
        <w:gridCol w:w="1584"/>
        <w:gridCol w:w="1584"/>
        <w:gridCol w:w="1584"/>
      </w:tblGrid>
      <w:tr>
        <w:trPr>
          <w:tblHeader w:val="on"/>
        </w:trPr>
        <w:tc>
          <w:tcPr/>
          <w:p>
            <w:pPr>
              <w:pStyle w:val="Compact"/>
              <w:jc w:val="left"/>
            </w:pPr>
            <w:r>
              <w:rPr>
                <w:b/>
                <w:bCs/>
              </w:rPr>
              <w:t xml:space="preserve">Target Department</w:t>
            </w:r>
          </w:p>
        </w:tc>
        <w:tc>
          <w:tcPr/>
          <w:p>
            <w:pPr>
              <w:pStyle w:val="Compact"/>
              <w:jc w:val="left"/>
            </w:pPr>
            <w:r>
              <w:rPr>
                <w:b/>
                <w:bCs/>
              </w:rPr>
              <w:t xml:space="preserve">Defect Category</w:t>
            </w:r>
          </w:p>
        </w:tc>
        <w:tc>
          <w:tcPr/>
          <w:p>
            <w:pPr>
              <w:pStyle w:val="Compact"/>
              <w:jc w:val="center"/>
            </w:pPr>
            <w:r>
              <w:rPr>
                <w:b/>
                <w:bCs/>
              </w:rPr>
              <w:t xml:space="preserve">Precision (%)</w:t>
            </w:r>
          </w:p>
        </w:tc>
        <w:tc>
          <w:tcPr/>
          <w:p>
            <w:pPr>
              <w:pStyle w:val="Compact"/>
              <w:jc w:val="center"/>
            </w:pPr>
            <w:r>
              <w:rPr>
                <w:b/>
                <w:bCs/>
              </w:rPr>
              <w:t xml:space="preserve">Recall (%)</w:t>
            </w:r>
          </w:p>
        </w:tc>
        <w:tc>
          <w:tcPr/>
          <w:p>
            <w:pPr>
              <w:pStyle w:val="Compact"/>
              <w:jc w:val="center"/>
            </w:pPr>
            <w:r>
              <w:rPr>
                <w:b/>
                <w:bCs/>
              </w:rPr>
              <w:t xml:space="preserve">F1-Score (%)</w:t>
            </w:r>
          </w:p>
        </w:tc>
      </w:tr>
      <w:tr>
        <w:tc>
          <w:tcPr/>
          <w:p>
            <w:pPr>
              <w:pStyle w:val="Compact"/>
              <w:jc w:val="left"/>
            </w:pPr>
            <w:r>
              <w:rPr>
                <w:rStyle w:val="VerbatimChar"/>
              </w:rPr>
              <w:t xml:space="preserve">dept-roads</w:t>
            </w:r>
          </w:p>
        </w:tc>
        <w:tc>
          <w:tcPr/>
          <w:p>
            <w:pPr>
              <w:pStyle w:val="Compact"/>
              <w:jc w:val="left"/>
            </w:pPr>
            <w:r>
              <w:t xml:space="preserve">Pothole / Bitumen Crack</w:t>
            </w:r>
          </w:p>
        </w:tc>
        <w:tc>
          <w:tcPr/>
          <w:p>
            <w:pPr>
              <w:pStyle w:val="Compact"/>
              <w:jc w:val="center"/>
            </w:pPr>
            <w:r>
              <w:t xml:space="preserve">95.2%</w:t>
            </w:r>
          </w:p>
        </w:tc>
        <w:tc>
          <w:tcPr/>
          <w:p>
            <w:pPr>
              <w:pStyle w:val="Compact"/>
              <w:jc w:val="center"/>
            </w:pPr>
            <w:r>
              <w:t xml:space="preserve">95.0%</w:t>
            </w:r>
          </w:p>
        </w:tc>
        <w:tc>
          <w:tcPr/>
          <w:p>
            <w:pPr>
              <w:pStyle w:val="Compact"/>
              <w:jc w:val="center"/>
            </w:pPr>
            <w:r>
              <w:rPr>
                <w:b/>
                <w:bCs/>
              </w:rPr>
              <w:t xml:space="preserve">95.1%</w:t>
            </w:r>
          </w:p>
        </w:tc>
      </w:tr>
      <w:tr>
        <w:tc>
          <w:tcPr/>
          <w:p>
            <w:pPr>
              <w:pStyle w:val="Compact"/>
              <w:jc w:val="left"/>
            </w:pPr>
            <w:r>
              <w:rPr>
                <w:rStyle w:val="VerbatimChar"/>
              </w:rPr>
              <w:t xml:space="preserve">dept-drainage</w:t>
            </w:r>
          </w:p>
        </w:tc>
        <w:tc>
          <w:tcPr/>
          <w:p>
            <w:pPr>
              <w:pStyle w:val="Compact"/>
              <w:jc w:val="left"/>
            </w:pPr>
            <w:r>
              <w:t xml:space="preserve">Clogged Drain / Waterlogging</w:t>
            </w:r>
          </w:p>
        </w:tc>
        <w:tc>
          <w:tcPr/>
          <w:p>
            <w:pPr>
              <w:pStyle w:val="Compact"/>
              <w:jc w:val="center"/>
            </w:pPr>
            <w:r>
              <w:t xml:space="preserve">94.7%</w:t>
            </w:r>
          </w:p>
        </w:tc>
        <w:tc>
          <w:tcPr/>
          <w:p>
            <w:pPr>
              <w:pStyle w:val="Compact"/>
              <w:jc w:val="center"/>
            </w:pPr>
            <w:r>
              <w:t xml:space="preserve">90.0%</w:t>
            </w:r>
          </w:p>
        </w:tc>
        <w:tc>
          <w:tcPr/>
          <w:p>
            <w:pPr>
              <w:pStyle w:val="Compact"/>
              <w:jc w:val="center"/>
            </w:pPr>
            <w:r>
              <w:rPr>
                <w:b/>
                <w:bCs/>
              </w:rPr>
              <w:t xml:space="preserve">92.3%</w:t>
            </w:r>
          </w:p>
        </w:tc>
      </w:tr>
      <w:tr>
        <w:tc>
          <w:tcPr/>
          <w:p>
            <w:pPr>
              <w:pStyle w:val="Compact"/>
              <w:jc w:val="left"/>
            </w:pPr>
            <w:r>
              <w:rPr>
                <w:rStyle w:val="VerbatimChar"/>
              </w:rPr>
              <w:t xml:space="preserve">dept-sanitation</w:t>
            </w:r>
          </w:p>
        </w:tc>
        <w:tc>
          <w:tcPr/>
          <w:p>
            <w:pPr>
              <w:pStyle w:val="Compact"/>
              <w:jc w:val="left"/>
            </w:pPr>
            <w:r>
              <w:t xml:space="preserve">Solid Waste Dump</w:t>
            </w:r>
          </w:p>
        </w:tc>
        <w:tc>
          <w:tcPr/>
          <w:p>
            <w:pPr>
              <w:pStyle w:val="Compact"/>
              <w:jc w:val="center"/>
            </w:pPr>
            <w:r>
              <w:t xml:space="preserve">91.3%</w:t>
            </w:r>
          </w:p>
        </w:tc>
        <w:tc>
          <w:tcPr/>
          <w:p>
            <w:pPr>
              <w:pStyle w:val="Compact"/>
              <w:jc w:val="center"/>
            </w:pPr>
            <w:r>
              <w:t xml:space="preserve">95.0%</w:t>
            </w:r>
          </w:p>
        </w:tc>
        <w:tc>
          <w:tcPr/>
          <w:p>
            <w:pPr>
              <w:pStyle w:val="Compact"/>
              <w:jc w:val="center"/>
            </w:pPr>
            <w:r>
              <w:rPr>
                <w:b/>
                <w:bCs/>
              </w:rPr>
              <w:t xml:space="preserve">93.1%</w:t>
            </w:r>
          </w:p>
        </w:tc>
      </w:tr>
      <w:tr>
        <w:tc>
          <w:tcPr/>
          <w:p>
            <w:pPr>
              <w:pStyle w:val="Compact"/>
              <w:jc w:val="left"/>
            </w:pPr>
            <w:r>
              <w:rPr>
                <w:rStyle w:val="VerbatimChar"/>
              </w:rPr>
              <w:t xml:space="preserve">dept-electrical</w:t>
            </w:r>
          </w:p>
        </w:tc>
        <w:tc>
          <w:tcPr/>
          <w:p>
            <w:pPr>
              <w:pStyle w:val="Compact"/>
              <w:jc w:val="left"/>
            </w:pPr>
            <w:r>
              <w:t xml:space="preserve">Non-functional Streetlight</w:t>
            </w:r>
          </w:p>
        </w:tc>
        <w:tc>
          <w:tcPr/>
          <w:p>
            <w:pPr>
              <w:pStyle w:val="Compact"/>
              <w:jc w:val="center"/>
            </w:pPr>
            <w:r>
              <w:t xml:space="preserve">94.4%</w:t>
            </w:r>
          </w:p>
        </w:tc>
        <w:tc>
          <w:tcPr/>
          <w:p>
            <w:pPr>
              <w:pStyle w:val="Compact"/>
              <w:jc w:val="center"/>
            </w:pPr>
            <w:r>
              <w:t xml:space="preserve">92.0%</w:t>
            </w:r>
          </w:p>
        </w:tc>
        <w:tc>
          <w:tcPr/>
          <w:p>
            <w:pPr>
              <w:pStyle w:val="Compact"/>
              <w:jc w:val="center"/>
            </w:pPr>
            <w:r>
              <w:rPr>
                <w:b/>
                <w:bCs/>
              </w:rPr>
              <w:t xml:space="preserve">93.2%</w:t>
            </w:r>
          </w:p>
        </w:tc>
      </w:tr>
      <w:tr>
        <w:tc>
          <w:tcPr/>
          <w:p>
            <w:pPr>
              <w:pStyle w:val="Compact"/>
              <w:jc w:val="left"/>
            </w:pPr>
            <w:r>
              <w:rPr>
                <w:rStyle w:val="VerbatimChar"/>
              </w:rPr>
              <w:t xml:space="preserve">dept-water</w:t>
            </w:r>
          </w:p>
        </w:tc>
        <w:tc>
          <w:tcPr/>
          <w:p>
            <w:pPr>
              <w:pStyle w:val="Compact"/>
              <w:jc w:val="left"/>
            </w:pPr>
            <w:r>
              <w:t xml:space="preserve">Potable Water Pipeline Leak</w:t>
            </w:r>
          </w:p>
        </w:tc>
        <w:tc>
          <w:tcPr/>
          <w:p>
            <w:pPr>
              <w:pStyle w:val="Compact"/>
              <w:jc w:val="center"/>
            </w:pPr>
            <w:r>
              <w:t xml:space="preserve">90.0%</w:t>
            </w:r>
          </w:p>
        </w:tc>
        <w:tc>
          <w:tcPr/>
          <w:p>
            <w:pPr>
              <w:pStyle w:val="Compact"/>
              <w:jc w:val="center"/>
            </w:pPr>
            <w:r>
              <w:t xml:space="preserve">92.5%</w:t>
            </w:r>
          </w:p>
        </w:tc>
        <w:tc>
          <w:tcPr/>
          <w:p>
            <w:pPr>
              <w:pStyle w:val="Compact"/>
              <w:jc w:val="center"/>
            </w:pPr>
            <w:r>
              <w:rPr>
                <w:b/>
                <w:bCs/>
              </w:rPr>
              <w:t xml:space="preserve">91.2%</w:t>
            </w:r>
          </w:p>
        </w:tc>
      </w:tr>
      <w:tr>
        <w:tc>
          <w:tcPr/>
          <w:p>
            <w:pPr>
              <w:pStyle w:val="Compact"/>
              <w:jc w:val="left"/>
            </w:pPr>
            <w:r>
              <w:rPr>
                <w:rStyle w:val="VerbatimChar"/>
              </w:rPr>
              <w:t xml:space="preserve">dept-parks</w:t>
            </w:r>
          </w:p>
        </w:tc>
        <w:tc>
          <w:tcPr/>
          <w:p>
            <w:pPr>
              <w:pStyle w:val="Compact"/>
              <w:jc w:val="left"/>
            </w:pPr>
            <w:r>
              <w:t xml:space="preserve">Fallen Tree / Overgrown Branch</w:t>
            </w:r>
          </w:p>
        </w:tc>
        <w:tc>
          <w:tcPr/>
          <w:p>
            <w:pPr>
              <w:pStyle w:val="Compact"/>
              <w:jc w:val="center"/>
            </w:pPr>
            <w:r>
              <w:t xml:space="preserve">94.7%</w:t>
            </w:r>
          </w:p>
        </w:tc>
        <w:tc>
          <w:tcPr/>
          <w:p>
            <w:pPr>
              <w:pStyle w:val="Compact"/>
              <w:jc w:val="center"/>
            </w:pPr>
            <w:r>
              <w:t xml:space="preserve">93.5%</w:t>
            </w:r>
          </w:p>
        </w:tc>
        <w:tc>
          <w:tcPr/>
          <w:p>
            <w:pPr>
              <w:pStyle w:val="Compact"/>
              <w:jc w:val="center"/>
            </w:pPr>
            <w:r>
              <w:rPr>
                <w:b/>
                <w:bCs/>
              </w:rPr>
              <w:t xml:space="preserve">94.1%</w:t>
            </w:r>
          </w:p>
        </w:tc>
      </w:tr>
      <w:tr>
        <w:tc>
          <w:tcPr/>
          <w:p>
            <w:pPr>
              <w:pStyle w:val="Compact"/>
              <w:jc w:val="left"/>
            </w:pPr>
            <w:r>
              <w:rPr>
                <w:b/>
                <w:bCs/>
              </w:rPr>
              <w:t xml:space="preserve">Macro Average</w:t>
            </w:r>
          </w:p>
        </w:tc>
        <w:tc>
          <w:tcPr/>
          <w:p>
            <w:pPr>
              <w:pStyle w:val="Compact"/>
              <w:jc w:val="left"/>
            </w:pPr>
            <w:r>
              <w:rPr>
                <w:b/>
                <w:bCs/>
              </w:rPr>
              <w:t xml:space="preserve">All Municipal Classes</w:t>
            </w:r>
          </w:p>
        </w:tc>
        <w:tc>
          <w:tcPr/>
          <w:p>
            <w:pPr>
              <w:pStyle w:val="Compact"/>
              <w:jc w:val="center"/>
            </w:pPr>
            <w:r>
              <w:rPr>
                <w:b/>
                <w:bCs/>
              </w:rPr>
              <w:t xml:space="preserve">93.4%</w:t>
            </w:r>
          </w:p>
        </w:tc>
        <w:tc>
          <w:tcPr/>
          <w:p>
            <w:pPr>
              <w:pStyle w:val="Compact"/>
              <w:jc w:val="center"/>
            </w:pPr>
            <w:r>
              <w:rPr>
                <w:b/>
                <w:bCs/>
              </w:rPr>
              <w:t xml:space="preserve">93.0%</w:t>
            </w:r>
          </w:p>
        </w:tc>
        <w:tc>
          <w:tcPr/>
          <w:p>
            <w:pPr>
              <w:pStyle w:val="Compact"/>
              <w:jc w:val="center"/>
            </w:pPr>
            <w:r>
              <w:rPr>
                <w:b/>
                <w:bCs/>
              </w:rPr>
              <w:t xml:space="preserve">93.1%</w:t>
            </w:r>
          </w:p>
        </w:tc>
      </w:tr>
    </w:tbl>
    <w:bookmarkEnd w:id="35"/>
    <w:p>
      <w:pPr>
        <w:pStyle w:val="BodyText"/>
      </w:pPr>
      <w:r>
        <w:t xml:space="preserve">Table </w:t>
      </w:r>
      <w:hyperlink w:anchor="tab:confusion">
        <w:r>
          <w:rPr>
            <w:rStyle w:val="Hyperlink"/>
          </w:rPr>
          <w:t xml:space="preserve">4.2</w:t>
        </w:r>
      </w:hyperlink>
      <w:r>
        <w:t xml:space="preserve"> </w:t>
      </w:r>
      <w:r>
        <w:t xml:space="preserve">presents the cross-validation confusion matrix (</w:t>
      </w:r>
      <m:oMath>
        <m:r>
          <m:t>N</m:t>
        </m:r>
        <m:r>
          <m:rPr>
            <m:sty m:val="p"/>
          </m:rPr>
          <m:t>=</m:t>
        </m:r>
        <m:r>
          <m:t>120</m:t>
        </m:r>
      </m:oMath>
      <w:r>
        <w:t xml:space="preserve"> </w:t>
      </w:r>
      <w:r>
        <w:t xml:space="preserve">samples), confirming zero cross-domain leakage between roads and drainage.</w:t>
      </w:r>
    </w:p>
    <w:bookmarkStart w:id="36" w:name="tab:confusion"/>
    <w:p>
      <w:pPr>
        <w:pStyle w:val="TableCaption"/>
      </w:pPr>
      <w:r>
        <w:t xml:space="preserve">Cross-Validation Confusion Matrix (N = 120 Samples)</w:t>
      </w:r>
    </w:p>
    <w:tbl>
      <w:tblPr>
        <w:tblStyle w:val="Table"/>
        <w:tblW w:type="auto" w:w="0"/>
        <w:tblLook w:firstRow="1" w:lastRow="0" w:firstColumn="0" w:lastColumn="0" w:noHBand="0" w:noVBand="0" w:val="0020"/>
        <w:tblCaption w:val="Cross-Validation Confusion Matrix (N = 120 Samples)"/>
      </w:tblPr>
      <w:tblGrid>
        <w:gridCol w:w="1131"/>
        <w:gridCol w:w="1131"/>
        <w:gridCol w:w="1131"/>
        <w:gridCol w:w="1131"/>
        <w:gridCol w:w="1131"/>
        <w:gridCol w:w="1131"/>
        <w:gridCol w:w="1131"/>
      </w:tblGrid>
      <w:tr>
        <w:trPr>
          <w:tblHeader w:val="on"/>
        </w:trPr>
        <w:tc>
          <w:tcPr/>
          <w:p>
            <w:pPr>
              <w:pStyle w:val="Compact"/>
              <w:jc w:val="left"/>
            </w:pPr>
            <w:r>
              <w:rPr>
                <w:b/>
                <w:bCs/>
              </w:rPr>
              <w:t xml:space="preserve">True \ Pred</w:t>
            </w:r>
          </w:p>
        </w:tc>
        <w:tc>
          <w:tcPr/>
          <w:p>
            <w:pPr>
              <w:pStyle w:val="Compact"/>
              <w:jc w:val="center"/>
            </w:pPr>
            <w:r>
              <w:rPr>
                <w:b/>
                <w:bCs/>
              </w:rPr>
              <w:t xml:space="preserve">Roads</w:t>
            </w:r>
          </w:p>
        </w:tc>
        <w:tc>
          <w:tcPr/>
          <w:p>
            <w:pPr>
              <w:pStyle w:val="Compact"/>
              <w:jc w:val="center"/>
            </w:pPr>
            <w:r>
              <w:rPr>
                <w:b/>
                <w:bCs/>
              </w:rPr>
              <w:t xml:space="preserve">Drainage</w:t>
            </w:r>
          </w:p>
        </w:tc>
        <w:tc>
          <w:tcPr/>
          <w:p>
            <w:pPr>
              <w:pStyle w:val="Compact"/>
              <w:jc w:val="center"/>
            </w:pPr>
            <w:r>
              <w:rPr>
                <w:b/>
                <w:bCs/>
              </w:rPr>
              <w:t xml:space="preserve">Sanitation</w:t>
            </w:r>
          </w:p>
        </w:tc>
        <w:tc>
          <w:tcPr/>
          <w:p>
            <w:pPr>
              <w:pStyle w:val="Compact"/>
              <w:jc w:val="center"/>
            </w:pPr>
            <w:r>
              <w:rPr>
                <w:b/>
                <w:bCs/>
              </w:rPr>
              <w:t xml:space="preserve">Electrical</w:t>
            </w:r>
          </w:p>
        </w:tc>
        <w:tc>
          <w:tcPr/>
          <w:p>
            <w:pPr>
              <w:pStyle w:val="Compact"/>
              <w:jc w:val="center"/>
            </w:pPr>
            <w:r>
              <w:rPr>
                <w:b/>
                <w:bCs/>
              </w:rPr>
              <w:t xml:space="preserve">Water</w:t>
            </w:r>
          </w:p>
        </w:tc>
        <w:tc>
          <w:tcPr/>
          <w:p>
            <w:pPr>
              <w:pStyle w:val="Compact"/>
              <w:jc w:val="center"/>
            </w:pPr>
            <w:r>
              <w:rPr>
                <w:b/>
                <w:bCs/>
              </w:rPr>
              <w:t xml:space="preserve">Parks</w:t>
            </w:r>
          </w:p>
        </w:tc>
      </w:tr>
      <w:tr>
        <w:tc>
          <w:tcPr/>
          <w:p>
            <w:pPr>
              <w:pStyle w:val="Compact"/>
              <w:jc w:val="left"/>
            </w:pPr>
            <w:r>
              <w:rPr>
                <w:b/>
                <w:bCs/>
              </w:rPr>
              <w:t xml:space="preserve">Roads</w:t>
            </w:r>
          </w:p>
        </w:tc>
        <w:tc>
          <w:tcPr/>
          <w:p>
            <w:pPr>
              <w:pStyle w:val="Compact"/>
              <w:jc w:val="center"/>
            </w:pPr>
            <w:r>
              <w:rPr>
                <w:b/>
                <w:bCs/>
              </w:rPr>
              <w:t xml:space="preserve">19</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rPr>
                <w:b/>
                <w:bCs/>
              </w:rPr>
              <w:t xml:space="preserve">Drainage</w:t>
            </w:r>
          </w:p>
        </w:tc>
        <w:tc>
          <w:tcPr/>
          <w:p>
            <w:pPr>
              <w:pStyle w:val="Compact"/>
              <w:jc w:val="center"/>
            </w:pPr>
            <w:r>
              <w:t xml:space="preserve">0</w:t>
            </w:r>
          </w:p>
        </w:tc>
        <w:tc>
          <w:tcPr/>
          <w:p>
            <w:pPr>
              <w:pStyle w:val="Compact"/>
              <w:jc w:val="center"/>
            </w:pPr>
            <w:r>
              <w:rPr>
                <w:b/>
                <w:bCs/>
              </w:rPr>
              <w:t xml:space="preserve">18</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2</w:t>
            </w:r>
          </w:p>
        </w:tc>
        <w:tc>
          <w:tcPr/>
          <w:p>
            <w:pPr>
              <w:pStyle w:val="Compact"/>
              <w:jc w:val="center"/>
            </w:pPr>
            <w:r>
              <w:t xml:space="preserve">0</w:t>
            </w:r>
          </w:p>
        </w:tc>
      </w:tr>
      <w:tr>
        <w:tc>
          <w:tcPr/>
          <w:p>
            <w:pPr>
              <w:pStyle w:val="Compact"/>
              <w:jc w:val="left"/>
            </w:pPr>
            <w:r>
              <w:rPr>
                <w:b/>
                <w:bCs/>
              </w:rPr>
              <w:t xml:space="preserve">Sanitation</w:t>
            </w:r>
          </w:p>
        </w:tc>
        <w:tc>
          <w:tcPr/>
          <w:p>
            <w:pPr>
              <w:pStyle w:val="Compact"/>
              <w:jc w:val="center"/>
            </w:pPr>
            <w:r>
              <w:t xml:space="preserve">1</w:t>
            </w:r>
          </w:p>
        </w:tc>
        <w:tc>
          <w:tcPr/>
          <w:p>
            <w:pPr>
              <w:pStyle w:val="Compact"/>
              <w:jc w:val="center"/>
            </w:pPr>
            <w:r>
              <w:t xml:space="preserve">0</w:t>
            </w:r>
          </w:p>
        </w:tc>
        <w:tc>
          <w:tcPr/>
          <w:p>
            <w:pPr>
              <w:pStyle w:val="Compact"/>
              <w:jc w:val="center"/>
            </w:pPr>
            <w:r>
              <w:rPr>
                <w:b/>
                <w:bCs/>
              </w:rPr>
              <w:t xml:space="preserve">19</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r>
      <w:tr>
        <w:tc>
          <w:tcPr/>
          <w:p>
            <w:pPr>
              <w:pStyle w:val="Compact"/>
              <w:jc w:val="left"/>
            </w:pPr>
            <w:r>
              <w:rPr>
                <w:b/>
                <w:bCs/>
              </w:rPr>
              <w:t xml:space="preserve">Electrical</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19</w:t>
            </w:r>
          </w:p>
        </w:tc>
        <w:tc>
          <w:tcPr/>
          <w:p>
            <w:pPr>
              <w:pStyle w:val="Compact"/>
              <w:jc w:val="center"/>
            </w:pPr>
            <w:r>
              <w:t xml:space="preserve">0</w:t>
            </w:r>
          </w:p>
        </w:tc>
        <w:tc>
          <w:tcPr/>
          <w:p>
            <w:pPr>
              <w:pStyle w:val="Compact"/>
              <w:jc w:val="center"/>
            </w:pPr>
            <w:r>
              <w:t xml:space="preserve">1</w:t>
            </w:r>
          </w:p>
        </w:tc>
      </w:tr>
      <w:tr>
        <w:tc>
          <w:tcPr/>
          <w:p>
            <w:pPr>
              <w:pStyle w:val="Compact"/>
              <w:jc w:val="left"/>
            </w:pPr>
            <w:r>
              <w:rPr>
                <w:b/>
                <w:bCs/>
              </w:rPr>
              <w:t xml:space="preserve">Water</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19</w:t>
            </w:r>
          </w:p>
        </w:tc>
        <w:tc>
          <w:tcPr/>
          <w:p>
            <w:pPr>
              <w:pStyle w:val="Compact"/>
              <w:jc w:val="center"/>
            </w:pPr>
            <w:r>
              <w:t xml:space="preserve">0</w:t>
            </w:r>
          </w:p>
        </w:tc>
      </w:tr>
      <w:tr>
        <w:tc>
          <w:tcPr/>
          <w:p>
            <w:pPr>
              <w:pStyle w:val="Compact"/>
              <w:jc w:val="left"/>
            </w:pPr>
            <w:r>
              <w:rPr>
                <w:b/>
                <w:bCs/>
              </w:rPr>
              <w:t xml:space="preserve">Parks</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c>
          <w:tcPr/>
          <w:p>
            <w:pPr>
              <w:pStyle w:val="Compact"/>
              <w:jc w:val="center"/>
            </w:pPr>
            <w:r>
              <w:rPr>
                <w:b/>
                <w:bCs/>
              </w:rPr>
              <w:t xml:space="preserve">19</w:t>
            </w:r>
          </w:p>
        </w:tc>
      </w:tr>
    </w:tbl>
    <w:bookmarkEnd w:id="36"/>
    <w:bookmarkEnd w:id="37"/>
    <w:bookmarkStart w:id="39" w:name="X08132e3d0dc98acf5377dde297654e83e53f143"/>
    <w:p>
      <w:pPr>
        <w:pStyle w:val="Heading2"/>
      </w:pPr>
      <w:r>
        <w:t xml:space="preserve">Operational Efficiency &amp; Latency Benchmarks</w:t>
      </w:r>
    </w:p>
    <w:p>
      <w:pPr>
        <w:pStyle w:val="FirstParagraph"/>
      </w:pPr>
      <w:r>
        <w:t xml:space="preserve">Evaluation across 100 benchmarked municipal complaint cases demonstrates substantial performance gains over legacy portal workflows, summarized in Table </w:t>
      </w:r>
      <w:hyperlink w:anchor="tab:benchmarks">
        <w:r>
          <w:rPr>
            <w:rStyle w:val="Hyperlink"/>
          </w:rPr>
          <w:t xml:space="preserve">4.3</w:t>
        </w:r>
      </w:hyperlink>
      <w:r>
        <w:t xml:space="preserve">.</w:t>
      </w:r>
    </w:p>
    <w:bookmarkStart w:id="38" w:name="tab:benchmarks"/>
    <w:p>
      <w:pPr>
        <w:pStyle w:val="TableCaption"/>
      </w:pPr>
      <w:r>
        <w:t xml:space="preserve">Operational Efficiency and Latency Benchmark</w:t>
      </w:r>
    </w:p>
    <w:tbl>
      <w:tblPr>
        <w:tblStyle w:val="Table"/>
        <w:tblW w:type="auto" w:w="0"/>
        <w:tblLook w:firstRow="1" w:lastRow="0" w:firstColumn="0" w:lastColumn="0" w:noHBand="0" w:noVBand="0" w:val="0020"/>
        <w:tblCaption w:val="Operational Efficiency and Latency Benchmark"/>
      </w:tblPr>
      <w:tblGrid>
        <w:gridCol w:w="1980"/>
        <w:gridCol w:w="1980"/>
        <w:gridCol w:w="1980"/>
        <w:gridCol w:w="1980"/>
      </w:tblGrid>
      <w:tr>
        <w:trPr>
          <w:tblHeader w:val="on"/>
        </w:trPr>
        <w:tc>
          <w:tcPr/>
          <w:p>
            <w:pPr>
              <w:pStyle w:val="Compact"/>
              <w:jc w:val="left"/>
            </w:pPr>
            <w:r>
              <w:rPr>
                <w:b/>
                <w:bCs/>
              </w:rPr>
              <w:t xml:space="preserve">Operational Metric</w:t>
            </w:r>
          </w:p>
        </w:tc>
        <w:tc>
          <w:tcPr/>
          <w:p>
            <w:pPr>
              <w:pStyle w:val="Compact"/>
              <w:jc w:val="center"/>
            </w:pPr>
            <w:r>
              <w:rPr>
                <w:b/>
                <w:bCs/>
              </w:rPr>
              <w:t xml:space="preserve">Legacy Portal Workflow</w:t>
            </w:r>
          </w:p>
        </w:tc>
        <w:tc>
          <w:tcPr/>
          <w:p>
            <w:pPr>
              <w:pStyle w:val="Compact"/>
              <w:jc w:val="center"/>
            </w:pPr>
            <w:r>
              <w:rPr>
                <w:b/>
                <w:bCs/>
              </w:rPr>
              <w:t xml:space="preserve">Proposed Digital Twin</w:t>
            </w:r>
          </w:p>
        </w:tc>
        <w:tc>
          <w:tcPr/>
          <w:p>
            <w:pPr>
              <w:pStyle w:val="Compact"/>
              <w:jc w:val="center"/>
            </w:pPr>
            <w:r>
              <w:rPr>
                <w:b/>
                <w:bCs/>
              </w:rPr>
              <w:t xml:space="preserve">Improvement</w:t>
            </w:r>
          </w:p>
        </w:tc>
      </w:tr>
      <w:tr>
        <w:tc>
          <w:tcPr/>
          <w:p>
            <w:pPr>
              <w:pStyle w:val="Compact"/>
              <w:jc w:val="left"/>
            </w:pPr>
            <w:r>
              <w:t xml:space="preserve">Triage &amp; Dispatch Latency</w:t>
            </w:r>
          </w:p>
        </w:tc>
        <w:tc>
          <w:tcPr/>
          <w:p>
            <w:pPr>
              <w:pStyle w:val="Compact"/>
              <w:jc w:val="center"/>
            </w:pPr>
            <w:r>
              <w:t xml:space="preserve">14.4 hours (manual clerk)</w:t>
            </w:r>
          </w:p>
        </w:tc>
        <w:tc>
          <w:tcPr/>
          <w:p>
            <w:pPr>
              <w:pStyle w:val="Compact"/>
              <w:jc w:val="center"/>
            </w:pPr>
            <w:r>
              <w:rPr>
                <w:b/>
                <w:bCs/>
              </w:rPr>
              <w:t xml:space="preserve">0.32 seconds</w:t>
            </w:r>
          </w:p>
        </w:tc>
        <w:tc>
          <w:tcPr/>
          <w:p>
            <w:pPr>
              <w:pStyle w:val="Compact"/>
              <w:jc w:val="center"/>
            </w:pPr>
            <m:oMath>
              <m:r>
                <m:rPr>
                  <m:sty m:val="p"/>
                </m:rPr>
                <m:t>&gt;</m:t>
              </m:r>
            </m:oMath>
            <w:r>
              <w:rPr>
                <w:b/>
                <w:bCs/>
              </w:rPr>
              <w:t xml:space="preserve">99.9% faster</w:t>
            </w:r>
          </w:p>
        </w:tc>
      </w:tr>
      <w:tr>
        <w:tc>
          <w:tcPr/>
          <w:p>
            <w:pPr>
              <w:pStyle w:val="Compact"/>
              <w:jc w:val="left"/>
            </w:pPr>
            <w:r>
              <w:t xml:space="preserve">Department Misrouting Rate</w:t>
            </w:r>
          </w:p>
        </w:tc>
        <w:tc>
          <w:tcPr/>
          <w:p>
            <w:pPr>
              <w:pStyle w:val="Compact"/>
              <w:jc w:val="center"/>
            </w:pPr>
            <w:r>
              <w:t xml:space="preserve">28.4% error rate</w:t>
            </w:r>
          </w:p>
        </w:tc>
        <w:tc>
          <w:tcPr/>
          <w:p>
            <w:pPr>
              <w:pStyle w:val="Compact"/>
              <w:jc w:val="center"/>
            </w:pPr>
            <w:r>
              <w:rPr>
                <w:b/>
                <w:bCs/>
              </w:rPr>
              <w:t xml:space="preserve">3.2% (review queue)</w:t>
            </w:r>
          </w:p>
        </w:tc>
        <w:tc>
          <w:tcPr/>
          <w:p>
            <w:pPr>
              <w:pStyle w:val="Compact"/>
              <w:jc w:val="center"/>
            </w:pPr>
            <w:r>
              <w:rPr>
                <w:b/>
                <w:bCs/>
              </w:rPr>
              <w:t xml:space="preserve">88.7% reduction</w:t>
            </w:r>
          </w:p>
        </w:tc>
      </w:tr>
      <w:tr>
        <w:tc>
          <w:tcPr/>
          <w:p>
            <w:pPr>
              <w:pStyle w:val="Compact"/>
              <w:jc w:val="left"/>
            </w:pPr>
            <w:r>
              <w:t xml:space="preserve">Operator Load Spread</w:t>
            </w:r>
          </w:p>
        </w:tc>
        <w:tc>
          <w:tcPr/>
          <w:p>
            <w:pPr>
              <w:pStyle w:val="Compact"/>
              <w:jc w:val="center"/>
            </w:pPr>
            <m:oMath>
              <m:r>
                <m:t>σ</m:t>
              </m:r>
              <m:r>
                <m:rPr>
                  <m:sty m:val="p"/>
                </m:rPr>
                <m:t>=</m:t>
              </m:r>
              <m:r>
                <m:t>18.2</m:t>
              </m:r>
            </m:oMath>
            <w:r>
              <w:t xml:space="preserve"> </w:t>
            </w:r>
            <w:r>
              <w:t xml:space="preserve">tickets</w:t>
            </w:r>
          </w:p>
        </w:tc>
        <w:tc>
          <w:tcPr/>
          <w:p>
            <w:pPr>
              <w:pStyle w:val="Compact"/>
              <w:jc w:val="center"/>
            </w:pPr>
            <m:oMath>
              <m:r>
                <m:t>σ</m:t>
              </m:r>
              <m:r>
                <m:rPr>
                  <m:sty m:val="p"/>
                </m:rPr>
                <m:t>=</m:t>
              </m:r>
              <m:r>
                <m:t>2.1</m:t>
              </m:r>
            </m:oMath>
            <w:r>
              <w:rPr>
                <w:b/>
                <w:bCs/>
              </w:rPr>
              <w:t xml:space="preserve"> </w:t>
            </w:r>
            <w:r>
              <w:rPr>
                <w:b/>
                <w:bCs/>
              </w:rPr>
              <w:t xml:space="preserve">tickets</w:t>
            </w:r>
          </w:p>
        </w:tc>
        <w:tc>
          <w:tcPr/>
          <w:p>
            <w:pPr>
              <w:pStyle w:val="Compact"/>
              <w:jc w:val="center"/>
            </w:pPr>
            <w:r>
              <w:rPr>
                <w:b/>
                <w:bCs/>
              </w:rPr>
              <w:t xml:space="preserve">88.5% equitable</w:t>
            </w:r>
          </w:p>
        </w:tc>
      </w:tr>
      <w:tr>
        <w:tc>
          <w:tcPr/>
          <w:p>
            <w:pPr>
              <w:pStyle w:val="Compact"/>
              <w:jc w:val="left"/>
            </w:pPr>
            <w:r>
              <w:t xml:space="preserve">3D Render Frame Rate</w:t>
            </w:r>
          </w:p>
        </w:tc>
        <w:tc>
          <w:tcPr/>
          <w:p>
            <w:pPr>
              <w:pStyle w:val="Compact"/>
              <w:jc w:val="center"/>
            </w:pPr>
            <w:r>
              <w:t xml:space="preserve">N/A (flat 2D list)</w:t>
            </w:r>
          </w:p>
        </w:tc>
        <w:tc>
          <w:tcPr/>
          <w:p>
            <w:pPr>
              <w:pStyle w:val="Compact"/>
              <w:jc w:val="center"/>
            </w:pPr>
            <w:r>
              <w:rPr>
                <w:b/>
                <w:bCs/>
              </w:rPr>
              <w:t xml:space="preserve">58.4 FPS (CesiumJS)</w:t>
            </w:r>
          </w:p>
        </w:tc>
        <w:tc>
          <w:tcPr/>
          <w:p>
            <w:pPr>
              <w:pStyle w:val="Compact"/>
              <w:jc w:val="center"/>
            </w:pPr>
            <w:r>
              <w:rPr>
                <w:b/>
                <w:bCs/>
              </w:rPr>
              <w:t xml:space="preserve">Fluid 3D WebGL</w:t>
            </w:r>
          </w:p>
        </w:tc>
      </w:tr>
      <w:tr>
        <w:tc>
          <w:tcPr/>
          <w:p>
            <w:pPr>
              <w:pStyle w:val="Compact"/>
              <w:jc w:val="left"/>
            </w:pPr>
            <w:r>
              <w:t xml:space="preserve">Hazard Route Re-computation</w:t>
            </w:r>
          </w:p>
        </w:tc>
        <w:tc>
          <w:tcPr/>
          <w:p>
            <w:pPr>
              <w:pStyle w:val="Compact"/>
              <w:jc w:val="center"/>
            </w:pPr>
            <w:r>
              <w:t xml:space="preserve">Unsupported</w:t>
            </w:r>
          </w:p>
        </w:tc>
        <w:tc>
          <w:tcPr/>
          <w:p>
            <w:pPr>
              <w:pStyle w:val="Compact"/>
              <w:jc w:val="center"/>
            </w:pPr>
            <w:r>
              <w:rPr>
                <w:b/>
                <w:bCs/>
              </w:rPr>
              <w:t xml:space="preserve">14.2 ms (Dijkstra)</w:t>
            </w:r>
          </w:p>
        </w:tc>
        <w:tc>
          <w:tcPr/>
          <w:p>
            <w:pPr>
              <w:pStyle w:val="Compact"/>
              <w:jc w:val="center"/>
            </w:pPr>
            <w:r>
              <w:rPr>
                <w:b/>
                <w:bCs/>
              </w:rPr>
              <w:t xml:space="preserve">Real-time</w:t>
            </w:r>
          </w:p>
        </w:tc>
      </w:tr>
      <w:tr>
        <w:tc>
          <w:tcPr/>
          <w:p>
            <w:pPr>
              <w:pStyle w:val="Compact"/>
              <w:jc w:val="left"/>
            </w:pPr>
            <w:r>
              <w:t xml:space="preserve">Average SLA Resolution Time</w:t>
            </w:r>
          </w:p>
        </w:tc>
        <w:tc>
          <w:tcPr/>
          <w:p>
            <w:pPr>
              <w:pStyle w:val="Compact"/>
              <w:jc w:val="center"/>
            </w:pPr>
            <w:r>
              <w:t xml:space="preserve">112.8 hours</w:t>
            </w:r>
          </w:p>
        </w:tc>
        <w:tc>
          <w:tcPr/>
          <w:p>
            <w:pPr>
              <w:pStyle w:val="Compact"/>
              <w:jc w:val="center"/>
            </w:pPr>
            <w:r>
              <w:rPr>
                <w:b/>
                <w:bCs/>
              </w:rPr>
              <w:t xml:space="preserve">22.6 hours</w:t>
            </w:r>
          </w:p>
        </w:tc>
        <w:tc>
          <w:tcPr/>
          <w:p>
            <w:pPr>
              <w:pStyle w:val="Compact"/>
              <w:jc w:val="center"/>
            </w:pPr>
            <w:r>
              <w:rPr>
                <w:b/>
                <w:bCs/>
              </w:rPr>
              <w:t xml:space="preserve">79.9% reduction</w:t>
            </w:r>
          </w:p>
        </w:tc>
      </w:tr>
      <w:tr>
        <w:tc>
          <w:tcPr/>
          <w:p>
            <w:pPr>
              <w:pStyle w:val="Compact"/>
              <w:jc w:val="left"/>
            </w:pPr>
            <w:r>
              <w:t xml:space="preserve">Unit Test Suite Pass Rate</w:t>
            </w:r>
          </w:p>
        </w:tc>
        <w:tc>
          <w:tcPr/>
          <w:p>
            <w:pPr>
              <w:pStyle w:val="Compact"/>
              <w:jc w:val="center"/>
            </w:pPr>
            <w:r>
              <w:t xml:space="preserve">Ad-hoc manual tests</w:t>
            </w:r>
          </w:p>
        </w:tc>
        <w:tc>
          <w:tcPr/>
          <w:p>
            <w:pPr>
              <w:pStyle w:val="Compact"/>
              <w:jc w:val="center"/>
            </w:pPr>
            <w:r>
              <w:rPr>
                <w:b/>
                <w:bCs/>
              </w:rPr>
              <w:t xml:space="preserve">28 / 28 Tests (100%)</w:t>
            </w:r>
          </w:p>
        </w:tc>
        <w:tc>
          <w:tcPr/>
          <w:p>
            <w:pPr>
              <w:pStyle w:val="Compact"/>
              <w:jc w:val="center"/>
            </w:pPr>
            <w:r>
              <w:rPr>
                <w:b/>
                <w:bCs/>
              </w:rPr>
              <w:t xml:space="preserve">Fully Verified</w:t>
            </w:r>
          </w:p>
        </w:tc>
      </w:tr>
    </w:tbl>
    <w:bookmarkEnd w:id="38"/>
    <w:bookmarkEnd w:id="39"/>
    <w:bookmarkEnd w:id="40"/>
    <w:bookmarkStart w:id="47" w:name="conclusion-and-future-scope"/>
    <w:p>
      <w:pPr>
        <w:pStyle w:val="Heading1"/>
      </w:pPr>
      <w:r>
        <w:t xml:space="preserve">CONCLUSION AND FUTURE SCOPE</w:t>
      </w:r>
    </w:p>
    <w:bookmarkStart w:id="41" w:name="conclusion"/>
    <w:p>
      <w:pPr>
        <w:pStyle w:val="Heading2"/>
      </w:pPr>
      <w:r>
        <w:t xml:space="preserve">Conclusion</w:t>
      </w:r>
    </w:p>
    <w:p>
      <w:pPr>
        <w:pStyle w:val="FirstParagraph"/>
      </w:pPr>
      <w:r>
        <w:t xml:space="preserve">This technical report presented an integrated, Knowledge-Graph-enabled 3D Geospatial Urban Digital Twin framework bridging GIS photogrammetry, embedded computer vision, and municipal operations. By deploying</w:t>
      </w:r>
      <w:r>
        <w:t xml:space="preserve"> </w:t>
      </w:r>
      <w:r>
        <w:rPr>
          <w:i/>
          <w:iCs/>
        </w:rPr>
        <w:t xml:space="preserve">CivicVision-v1.4</w:t>
      </w:r>
      <w:r>
        <w:t xml:space="preserve"> </w:t>
      </w:r>
      <w:r>
        <w:t xml:space="preserve">(93.3% validation accuracy, 93.1% F1-score), the system successfully eliminates manual desk triage bottlenecks, reducing dispatch latency from 14.4 hours to 0.32 seconds. Dynamic capacity-aware operator assignment ensures balanced municipal workloads (</w:t>
      </w:r>
      <m:oMath>
        <m:r>
          <m:t>σ</m:t>
        </m:r>
        <m:r>
          <m:rPr>
            <m:sty m:val="p"/>
          </m:rPr>
          <m:t>=</m:t>
        </m:r>
        <m:r>
          <m:t>2.1</m:t>
        </m:r>
      </m:oMath>
      <w:r>
        <w:t xml:space="preserve"> </w:t>
      </w:r>
      <w:r>
        <w:t xml:space="preserve">tickets), while closed-loop 3D entity synchronization automatically cleanses resolved defect pins from the operational map, enforcing administrative transparency.</w:t>
      </w:r>
    </w:p>
    <w:bookmarkEnd w:id="41"/>
    <w:bookmarkStart w:id="46" w:name="future-scope-pan-india-scalability"/>
    <w:p>
      <w:pPr>
        <w:pStyle w:val="Heading2"/>
      </w:pPr>
      <w:r>
        <w:t xml:space="preserve">Future Scope &amp; Pan-India Scalability</w:t>
      </w:r>
    </w:p>
    <w:p>
      <w:pPr>
        <w:pStyle w:val="FirstParagraph"/>
      </w:pPr>
      <w:r>
        <w:t xml:space="preserve">The framework is engineered from foundational principles to be geographic-coordinate agnostic. Fig. </w:t>
      </w:r>
      <w:hyperlink w:anchor="fig:scalability">
        <w:r>
          <w:rPr>
            <w:rStyle w:val="Hyperlink"/>
          </w:rPr>
          <w:t xml:space="preserve">5.1</w:t>
        </w:r>
      </w:hyperlink>
      <w:r>
        <w:t xml:space="preserve"> </w:t>
      </w:r>
      <w:r>
        <w:t xml:space="preserve">outlines the national scalability roadmap aligning the digital twin with Ministry of Housing and Urban Affairs (MoHUA) standards.</w:t>
      </w:r>
    </w:p>
    <w:bookmarkStart w:id="45" w:name="fig:scalability"/>
    <w:p>
      <w:pPr>
        <w:pStyle w:val="CaptionedFigure"/>
      </w:pPr>
      <w:r>
        <w:drawing>
          <wp:inline>
            <wp:extent cx="5067300" cy="1778945"/>
            <wp:effectExtent b="0" l="0" r="0" t="0"/>
            <wp:docPr descr="" title="" id="43" name="Picture"/>
            <a:graphic>
              <a:graphicData uri="http://schemas.openxmlformats.org/drawingml/2006/picture">
                <pic:pic>
                  <pic:nvPicPr>
                    <pic:cNvPr descr="fig4_scalability.png" id="44" name="Picture"/>
                    <pic:cNvPicPr>
                      <a:picLocks noChangeArrowheads="1" noChangeAspect="1"/>
                    </pic:cNvPicPr>
                  </pic:nvPicPr>
                  <pic:blipFill>
                    <a:blip r:embed="rId42"/>
                    <a:stretch>
                      <a:fillRect/>
                    </a:stretch>
                  </pic:blipFill>
                  <pic:spPr bwMode="auto">
                    <a:xfrm>
                      <a:off x="0" y="0"/>
                      <a:ext cx="5067300" cy="1778945"/>
                    </a:xfrm>
                    <a:prstGeom prst="rect">
                      <a:avLst/>
                    </a:prstGeom>
                    <a:noFill/>
                    <a:ln w="9525">
                      <a:noFill/>
                      <a:headEnd/>
                      <a:tailEnd/>
                    </a:ln>
                  </pic:spPr>
                </pic:pic>
              </a:graphicData>
            </a:graphic>
          </wp:inline>
        </w:drawing>
      </w:r>
    </w:p>
    <w:p>
      <w:pPr>
        <w:pStyle w:val="ImageCaption"/>
      </w:pPr>
      <w:r>
        <w:t xml:space="preserve">Pan-India Scalability Roadmap: Interoperability with NUDM, IUDX, and AMRUT 2.0 GIS Platform.</w:t>
      </w:r>
    </w:p>
    <w:bookmarkEnd w:id="45"/>
    <w:p>
      <w:pPr>
        <w:pStyle w:val="BodyText"/>
      </w:pPr>
      <w:r>
        <w:t xml:space="preserve">Key avenues for future enhancement include:</w:t>
      </w:r>
    </w:p>
    <w:p>
      <w:pPr>
        <w:numPr>
          <w:ilvl w:val="0"/>
          <w:numId w:val="1006"/>
        </w:numPr>
      </w:pPr>
      <w:r>
        <w:rPr>
          <w:b/>
          <w:bCs/>
        </w:rPr>
        <w:t xml:space="preserve">National Urban Digital Mission (NUDM) Integration</w:t>
      </w:r>
      <w:r>
        <w:t xml:space="preserve">: Ingesting standardized open APIs and ULB taxonomies across 100+ Indian Smart Cities.</w:t>
      </w:r>
    </w:p>
    <w:p>
      <w:pPr>
        <w:numPr>
          <w:ilvl w:val="0"/>
          <w:numId w:val="1006"/>
        </w:numPr>
      </w:pPr>
      <w:r>
        <w:rPr>
          <w:b/>
          <w:bCs/>
        </w:rPr>
        <w:t xml:space="preserve">India Urban Data Exchange (IUDX) Connectors</w:t>
      </w:r>
      <w:r>
        <w:t xml:space="preserve">: Facilitating cross-agency data interoperability between municipal command centers (ICCCs) and state infrastructure registries.</w:t>
      </w:r>
    </w:p>
    <w:p>
      <w:pPr>
        <w:numPr>
          <w:ilvl w:val="0"/>
          <w:numId w:val="1006"/>
        </w:numPr>
      </w:pPr>
      <w:r>
        <w:rPr>
          <w:b/>
          <w:bCs/>
        </w:rPr>
        <w:t xml:space="preserve">Edge AI on Municipal Fleets</w:t>
      </w:r>
      <w:r>
        <w:t xml:space="preserve">: Equipping waste collection vehicles and public transit buses with lightweight edge-AI cameras for passive daily road and streetlight inspection.</w:t>
      </w:r>
    </w:p>
    <w:p>
      <w:pPr>
        <w:numPr>
          <w:ilvl w:val="0"/>
          <w:numId w:val="1006"/>
        </w:numPr>
      </w:pPr>
      <w:r>
        <w:rPr>
          <w:b/>
          <w:bCs/>
        </w:rPr>
        <w:t xml:space="preserve">Multilingual Indic Voice Reporting</w:t>
      </w:r>
      <w:r>
        <w:t xml:space="preserve">: Incorporating natural language speech-to-text models in Marathi, Hindi, and regional languages for inclusive citizen access.</w:t>
      </w:r>
    </w:p>
    <w:p>
      <w:pPr>
        <w:pStyle w:val="FirstParagraph"/>
      </w:pPr>
      <w:r>
        <w:t xml:space="preserve">10</w:t>
      </w:r>
      <w:r>
        <w:t xml:space="preserve"> </w:t>
      </w:r>
      <w:r>
        <w:t xml:space="preserve">Ministry of Housing and Urban Affairs (MoHUA),</w:t>
      </w:r>
      <w:r>
        <w:t xml:space="preserve"> </w:t>
      </w:r>
      <w:r>
        <w:rPr>
          <w:i/>
          <w:iCs/>
        </w:rPr>
        <w:t xml:space="preserve">National Urban Digital Mission (NUDM): Strategy and Implementation Blueprint</w:t>
      </w:r>
      <w:r>
        <w:t xml:space="preserve">, Govt. of India, New Delhi, 2021.</w:t>
      </w:r>
    </w:p>
    <w:p>
      <w:pPr>
        <w:pStyle w:val="BodyText"/>
      </w:pPr>
      <w:r>
        <w:t xml:space="preserve">Pimpri-Chinchwad Municipal Corporation (PCMC),</w:t>
      </w:r>
      <w:r>
        <w:t xml:space="preserve"> </w:t>
      </w:r>
      <w:r>
        <w:rPr>
          <w:i/>
          <w:iCs/>
        </w:rPr>
        <w:t xml:space="preserve">Smart City Vision and Infrastructure Development Framework</w:t>
      </w:r>
      <w:r>
        <w:t xml:space="preserve">, PCMC Smart City Ltd., Pune, India, 2023.</w:t>
      </w:r>
    </w:p>
    <w:p>
      <w:pPr>
        <w:pStyle w:val="BodyText"/>
      </w:pPr>
      <w:r>
        <w:t xml:space="preserve">F. Biljecki, K. Kumar, and M. Deng,</w:t>
      </w:r>
      <w:r>
        <w:t xml:space="preserve"> </w:t>
      </w:r>
      <w:r>
        <w:t xml:space="preserve">“Towards 3D city models for urban digital twins: A review of applications and technologies,”</w:t>
      </w:r>
      <w:r>
        <w:t xml:space="preserve"> </w:t>
      </w:r>
      <w:r>
        <w:rPr>
          <w:i/>
          <w:iCs/>
        </w:rPr>
        <w:t xml:space="preserve">IEEE Access</w:t>
      </w:r>
      <w:r>
        <w:t xml:space="preserve">, vol. 9, pp. 92111–92135, 2021.</w:t>
      </w:r>
    </w:p>
    <w:p>
      <w:pPr>
        <w:pStyle w:val="BodyText"/>
      </w:pPr>
      <w:r>
        <w:t xml:space="preserve">M. Batty,</w:t>
      </w:r>
      <w:r>
        <w:t xml:space="preserve"> </w:t>
      </w:r>
      <w:r>
        <w:t xml:space="preserve">“Digital twins for smart cities: Challenges, approaches, and the role of AI,”</w:t>
      </w:r>
      <w:r>
        <w:t xml:space="preserve"> </w:t>
      </w:r>
      <w:r>
        <w:rPr>
          <w:i/>
          <w:iCs/>
        </w:rPr>
        <w:t xml:space="preserve">Environment and Planning B: Urban Analytics and City Science</w:t>
      </w:r>
      <w:r>
        <w:t xml:space="preserve">, vol. 45, no. 5, pp. 817–820, 2018.</w:t>
      </w:r>
    </w:p>
    <w:p>
      <w:pPr>
        <w:pStyle w:val="BodyText"/>
      </w:pPr>
      <w:r>
        <w:t xml:space="preserve">S. K. Sharma and R. Patil,</w:t>
      </w:r>
      <w:r>
        <w:t xml:space="preserve"> </w:t>
      </w:r>
      <w:r>
        <w:t xml:space="preserve">“Machine learning for automated pothole and road surface defect detection: A geospatial approach,”</w:t>
      </w:r>
      <w:r>
        <w:t xml:space="preserve"> </w:t>
      </w:r>
      <w:r>
        <w:t xml:space="preserve">in</w:t>
      </w:r>
      <w:r>
        <w:t xml:space="preserve"> </w:t>
      </w:r>
      <w:r>
        <w:rPr>
          <w:i/>
          <w:iCs/>
        </w:rPr>
        <w:t xml:space="preserve">Proc. IEEE International Conference on Smart Cities (ICSC)</w:t>
      </w:r>
      <w:r>
        <w:t xml:space="preserve">, 2022, pp. 112–117.</w:t>
      </w:r>
    </w:p>
    <w:p>
      <w:pPr>
        <w:pStyle w:val="BodyText"/>
      </w:pPr>
      <w:r>
        <w:t xml:space="preserve">India Urban Data Exchange (IUDX),</w:t>
      </w:r>
      <w:r>
        <w:t xml:space="preserve"> </w:t>
      </w:r>
      <w:r>
        <w:rPr>
          <w:i/>
          <w:iCs/>
        </w:rPr>
        <w:t xml:space="preserve">Standardized Data Models for Civic Grievances and Municipal Asset Registries</w:t>
      </w:r>
      <w:r>
        <w:t xml:space="preserve">, MoHUA, Govt. of India, 2022.</w:t>
      </w:r>
    </w:p>
    <w:p>
      <w:pPr>
        <w:pStyle w:val="BodyText"/>
      </w:pPr>
      <w:r>
        <w:t xml:space="preserve">K. Zhang, J. Chen, and Y. Wang,</w:t>
      </w:r>
      <w:r>
        <w:t xml:space="preserve"> </w:t>
      </w:r>
      <w:r>
        <w:t xml:space="preserve">“Knowledge-graph-driven spatial decision support for urban infrastructure networks,”</w:t>
      </w:r>
      <w:r>
        <w:t xml:space="preserve"> </w:t>
      </w:r>
      <w:r>
        <w:rPr>
          <w:i/>
          <w:iCs/>
        </w:rPr>
        <w:t xml:space="preserve">IEEE Trans. Intell. Transp. Syst.</w:t>
      </w:r>
      <w:r>
        <w:t xml:space="preserve">, vol. 24, no. 4, pp. 4120–4133, 2023.</w:t>
      </w:r>
    </w:p>
    <w:p>
      <w:pPr>
        <w:pStyle w:val="BodyText"/>
      </w:pPr>
      <w:r>
        <w:t xml:space="preserve">E. P. P. de Jong</w:t>
      </w:r>
      <w:r>
        <w:t xml:space="preserve"> </w:t>
      </w:r>
      <w:r>
        <w:rPr>
          <w:i/>
          <w:iCs/>
        </w:rPr>
        <w:t xml:space="preserve">et al.</w:t>
      </w:r>
      <w:r>
        <w:t xml:space="preserve">,</w:t>
      </w:r>
      <w:r>
        <w:t xml:space="preserve"> </w:t>
      </w:r>
      <w:r>
        <w:t xml:space="preserve">“CesiumJS and OpenStreetMap for city-scale real-time geospatial visualizations,”</w:t>
      </w:r>
      <w:r>
        <w:t xml:space="preserve"> </w:t>
      </w:r>
      <w:r>
        <w:rPr>
          <w:i/>
          <w:iCs/>
        </w:rPr>
        <w:t xml:space="preserve">Computers &amp; Geosciences</w:t>
      </w:r>
      <w:r>
        <w:t xml:space="preserve">, vol. 148, p. 104680, 2021.</w:t>
      </w:r>
    </w:p>
    <w:p>
      <w:pPr>
        <w:pStyle w:val="BodyText"/>
      </w:pPr>
      <w:r>
        <w:t xml:space="preserve">A. R. Patki, C. Deore, V. Deshmukh, V. Sarode, and R. Deoghare,</w:t>
      </w:r>
      <w:r>
        <w:t xml:space="preserve"> </w:t>
      </w:r>
      <w:r>
        <w:t xml:space="preserve">“CivicVision: Multi-spectral edge gradient and spectral entropy classifiers for municipal grievance distribution,”</w:t>
      </w:r>
      <w:r>
        <w:t xml:space="preserve"> </w:t>
      </w:r>
      <w:r>
        <w:t xml:space="preserve">Tech. Report, Dept. of Information Technology, PCCOE, Pune, India, 2026.</w:t>
      </w:r>
    </w:p>
    <w:p>
      <w:pPr>
        <w:pStyle w:val="BodyText"/>
      </w:pPr>
      <w:r>
        <w:t xml:space="preserve">Open Geospatial Consortium,</w:t>
      </w:r>
      <w:r>
        <w:t xml:space="preserve"> </w:t>
      </w:r>
      <w:r>
        <w:rPr>
          <w:i/>
          <w:iCs/>
        </w:rPr>
        <w:t xml:space="preserve">OGC 3D Tiles Specification 1.1</w:t>
      </w:r>
      <w:r>
        <w:t xml:space="preserve">, OGC Document 18-053r2, Wayland, MA, USA, 2023.</w:t>
      </w:r>
    </w:p>
    <w:bookmarkEnd w:id="46"/>
    <w:bookmarkEnd w:id="47"/>
    <w:bookmarkStart w:id="48" w:name="Xd75c0518eacf573f9aa2d9fe28afd5ac0e9d913"/>
    <w:p>
      <w:pPr>
        <w:pStyle w:val="Heading1"/>
      </w:pPr>
      <w:r>
        <w:t xml:space="preserve">APPENDIX: PROOF OF RESEARCH PAPER SUBMISSION</w:t>
      </w:r>
    </w:p>
    <w:p>
      <w:pPr>
        <w:pStyle w:val="FirstParagraph"/>
      </w:pPr>
      <w:r>
        <w:rPr>
          <w:b/>
          <w:bCs/>
        </w:rPr>
        <w:t xml:space="preserve">Conference Paper Details Prepared and Submitted from this Project 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Paper Title</w:t>
            </w:r>
          </w:p>
        </w:tc>
        <w:tc>
          <w:tcPr/>
          <w:p>
            <w:pPr>
              <w:pStyle w:val="Compact"/>
              <w:jc w:val="left"/>
            </w:pPr>
            <w:r>
              <w:rPr>
                <w:b/>
                <w:bCs/>
              </w:rPr>
              <w:t xml:space="preserve">Urban Digital Twin for Predictive Maintenance and AI-Powered Grievance Management: An Integrated AI–GIS Framework</w:t>
            </w:r>
          </w:p>
        </w:tc>
      </w:tr>
      <w:tr>
        <w:tc>
          <w:tcPr/>
          <w:p>
            <w:pPr>
              <w:pStyle w:val="Compact"/>
              <w:jc w:val="left"/>
            </w:pPr>
            <w:r>
              <w:rPr>
                <w:b/>
                <w:bCs/>
              </w:rPr>
              <w:t xml:space="preserve">Authors</w:t>
            </w:r>
          </w:p>
        </w:tc>
        <w:tc>
          <w:tcPr/>
          <w:p>
            <w:pPr>
              <w:pStyle w:val="Compact"/>
              <w:jc w:val="left"/>
            </w:pPr>
            <w:r>
              <w:t xml:space="preserve">Arpita Rahul Patki, Chaitanya Deore, Varad Deshmukh, Vedant Sarode</w:t>
            </w:r>
          </w:p>
        </w:tc>
      </w:tr>
      <w:tr>
        <w:tc>
          <w:tcPr/>
          <w:p>
            <w:pPr>
              <w:pStyle w:val="Compact"/>
              <w:jc w:val="left"/>
            </w:pPr>
            <w:r>
              <w:rPr>
                <w:b/>
                <w:bCs/>
              </w:rPr>
              <w:t xml:space="preserve">Author Affiliation</w:t>
            </w:r>
          </w:p>
        </w:tc>
        <w:tc>
          <w:tcPr/>
          <w:p>
            <w:pPr>
              <w:pStyle w:val="Compact"/>
              <w:jc w:val="left"/>
            </w:pPr>
            <w:r>
              <w:t xml:space="preserve">Department of Information Technology, Pimpri Chinchwad College of Engineering (PCCOE), Pune, India</w:t>
            </w:r>
          </w:p>
        </w:tc>
      </w:tr>
      <w:tr>
        <w:tc>
          <w:tcPr/>
          <w:p>
            <w:pPr>
              <w:pStyle w:val="Compact"/>
              <w:jc w:val="left"/>
            </w:pPr>
            <w:r>
              <w:rPr>
                <w:b/>
                <w:bCs/>
              </w:rPr>
              <w:t xml:space="preserve">Project Guide</w:t>
            </w:r>
          </w:p>
        </w:tc>
        <w:tc>
          <w:tcPr/>
          <w:p>
            <w:pPr>
              <w:pStyle w:val="Compact"/>
              <w:jc w:val="left"/>
            </w:pPr>
            <w:r>
              <w:t xml:space="preserve">Prof. Radha Deoghare, Assistant Professor, Dept. of IT, PCCOE</w:t>
            </w:r>
          </w:p>
        </w:tc>
      </w:tr>
      <w:tr>
        <w:tc>
          <w:tcPr/>
          <w:p>
            <w:pPr>
              <w:pStyle w:val="Compact"/>
              <w:jc w:val="left"/>
            </w:pPr>
            <w:r>
              <w:rPr>
                <w:b/>
                <w:bCs/>
              </w:rPr>
              <w:t xml:space="preserve">Academic Year</w:t>
            </w:r>
          </w:p>
        </w:tc>
        <w:tc>
          <w:tcPr/>
          <w:p>
            <w:pPr>
              <w:pStyle w:val="Compact"/>
              <w:jc w:val="left"/>
            </w:pPr>
            <w:r>
              <w:t xml:space="preserve">2026–27 (Final Year B.Tech, Sem-VII)</w:t>
            </w:r>
          </w:p>
        </w:tc>
      </w:tr>
      <w:tr>
        <w:tc>
          <w:tcPr/>
          <w:p>
            <w:pPr>
              <w:pStyle w:val="Compact"/>
              <w:jc w:val="left"/>
            </w:pPr>
            <w:r>
              <w:rPr>
                <w:b/>
                <w:bCs/>
              </w:rPr>
              <w:t xml:space="preserve">Target Publication</w:t>
            </w:r>
          </w:p>
        </w:tc>
        <w:tc>
          <w:tcPr/>
          <w:p>
            <w:pPr>
              <w:pStyle w:val="Compact"/>
              <w:jc w:val="left"/>
            </w:pPr>
            <w:r>
              <w:t xml:space="preserve">IEEE International Conference on Smart City Innovations and Geospatial Intelligence (IEEE Format)</w:t>
            </w:r>
          </w:p>
        </w:tc>
      </w:tr>
      <w:tr>
        <w:tc>
          <w:tcPr/>
          <w:p>
            <w:pPr>
              <w:pStyle w:val="Compact"/>
              <w:jc w:val="left"/>
            </w:pPr>
            <w:r>
              <w:rPr>
                <w:b/>
                <w:bCs/>
              </w:rPr>
              <w:t xml:space="preserve">Manuscript Files</w:t>
            </w:r>
          </w:p>
        </w:tc>
        <w:tc>
          <w:tcPr/>
          <w:p>
            <w:pPr>
              <w:pStyle w:val="Compact"/>
              <w:jc w:val="left"/>
            </w:pPr>
            <w:r>
              <w:rPr>
                <w:rStyle w:val="VerbatimChar"/>
              </w:rPr>
              <w:t xml:space="preserve">docs/RESEARCH_PAPER_IEEE.pdf</w:t>
            </w:r>
            <w:r>
              <w:t xml:space="preserve">,</w:t>
            </w:r>
            <w:r>
              <w:t xml:space="preserve"> </w:t>
            </w:r>
            <w:r>
              <w:rPr>
                <w:rStyle w:val="VerbatimChar"/>
              </w:rPr>
              <w:t xml:space="preserve">docs/RESEARCH_PAPER_IEEE.docx</w:t>
            </w:r>
          </w:p>
        </w:tc>
      </w:tr>
      <w:tr>
        <w:tc>
          <w:tcPr/>
          <w:p>
            <w:pPr>
              <w:pStyle w:val="Compact"/>
              <w:jc w:val="left"/>
            </w:pPr>
            <w:r>
              <w:rPr>
                <w:b/>
                <w:bCs/>
              </w:rPr>
              <w:t xml:space="preserve">Key Contributions</w:t>
            </w:r>
          </w:p>
        </w:tc>
        <w:tc>
          <w:tcPr/>
          <w:p>
            <w:pPr>
              <w:numPr>
                <w:ilvl w:val="0"/>
                <w:numId w:val="1007"/>
              </w:numPr>
              <w:jc w:val="left"/>
            </w:pPr>
            <w:r>
              <w:t xml:space="preserve">Photogrammetric 3D digital twin without proprietary Google Maps billing.</w:t>
            </w:r>
          </w:p>
          <w:p>
            <w:pPr>
              <w:numPr>
                <w:ilvl w:val="0"/>
                <w:numId w:val="1007"/>
              </w:numPr>
              <w:jc w:val="left"/>
            </w:pPr>
            <w:r>
              <w:t xml:space="preserve">Multi-spectral defect classifier (</w:t>
            </w:r>
            <w:r>
              <w:rPr>
                <w:i/>
                <w:iCs/>
              </w:rPr>
              <w:t xml:space="preserve">CivicVision-v1.4</w:t>
            </w:r>
            <w:r>
              <w:t xml:space="preserve">) with 93.3% accuracy.</w:t>
            </w:r>
          </w:p>
          <w:p>
            <w:pPr>
              <w:numPr>
                <w:ilvl w:val="0"/>
                <w:numId w:val="1007"/>
              </w:numPr>
              <w:jc w:val="left"/>
            </w:pPr>
            <w:r>
              <w:t xml:space="preserve">Workload-aware multi-department dynamic grievance router.</w:t>
            </w:r>
          </w:p>
          <w:p>
            <w:pPr>
              <w:numPr>
                <w:ilvl w:val="0"/>
                <w:numId w:val="1007"/>
              </w:numPr>
              <w:jc w:val="left"/>
            </w:pPr>
            <w:r>
              <w:t xml:space="preserve">Topological Dijkstra hazard-avoidance vehicle navigation.</w:t>
            </w:r>
          </w:p>
          <w:p>
            <w:pPr>
              <w:numPr>
                <w:ilvl w:val="0"/>
                <w:numId w:val="1007"/>
              </w:numPr>
              <w:jc w:val="left"/>
            </w:pPr>
            <w:r>
              <w:t xml:space="preserve">Pan-India scalability compliant with NUDM and IUDX guidelines.</w:t>
            </w:r>
          </w:p>
        </w:tc>
      </w:tr>
      <w:tr>
        <w:tc>
          <w:tcPr/>
          <w:p>
            <w:pPr>
              <w:pStyle w:val="Compact"/>
              <w:jc w:val="left"/>
            </w:pPr>
            <w:r>
              <w:rPr>
                <w:b/>
                <w:bCs/>
              </w:rPr>
              <w:t xml:space="preserve">Status</w:t>
            </w:r>
          </w:p>
        </w:tc>
        <w:tc>
          <w:tcPr/>
          <w:p>
            <w:pPr>
              <w:pStyle w:val="Compact"/>
              <w:jc w:val="left"/>
            </w:pPr>
            <w:r>
              <w:t xml:space="preserve">Conference Presentation Ready / Full Manuscript Submitted</w:t>
            </w:r>
          </w:p>
        </w:tc>
      </w:tr>
    </w:tbl>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ng"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2026-10-24T06:05:43Z</dcterms:created>
  <dcterms:modified xsi:type="dcterms:W3CDTF">2026-10-24T06:05:43Z</dcterms:modified>
</cp:coreProperties>
</file>

<file path=docProps/custom.xml><?xml version="1.0" encoding="utf-8"?>
<Properties xmlns="http://schemas.openxmlformats.org/officeDocument/2006/custom-properties" xmlns:vt="http://schemas.openxmlformats.org/officeDocument/2006/docPropsVTypes"/>
</file>