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4110"/>
        <w:rPr>
          <w:b w:val="false"/>
          <w:sz w:val="20"/>
        </w:rPr>
      </w:pPr>
      <w:r>
        <w:rPr/>
        <w:drawing>
          <wp:inline distT="0" distB="0" distL="0" distR="0">
            <wp:extent cx="2085340" cy="420370"/>
            <wp:effectExtent l="0" t="0" r="0" b="0"/>
            <wp:docPr id="1" name="Image 1" descr="C:\Users\ADMINI~1\AppData\Local\Temp\ksohtml100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ADMINI~1\AppData\Local\Temp\ksohtml10004\wps1.jpg"/>
                    <pic:cNvPicPr>
                      <a:picLocks noChangeAspect="1" noChangeArrowheads="1"/>
                    </pic:cNvPicPr>
                  </pic:nvPicPr>
                  <pic:blipFill>
                    <a:blip r:embed="rId2"/>
                    <a:stretch>
                      <a:fillRect/>
                    </a:stretch>
                  </pic:blipFill>
                  <pic:spPr bwMode="auto">
                    <a:xfrm>
                      <a:off x="0" y="0"/>
                      <a:ext cx="2085340" cy="420370"/>
                    </a:xfrm>
                    <a:prstGeom prst="rect">
                      <a:avLst/>
                    </a:prstGeom>
                  </pic:spPr>
                </pic:pic>
              </a:graphicData>
            </a:graphic>
          </wp:inline>
        </w:drawing>
      </w:r>
    </w:p>
    <w:p>
      <w:pPr>
        <w:pStyle w:val="BodyText"/>
        <w:spacing w:before="274" w:after="0"/>
        <w:ind w:left="2383" w:right="2021"/>
        <w:jc w:val="center"/>
        <w:rPr/>
      </w:pPr>
      <w:r>
        <w:rPr/>
        <w:t>Dr.</w:t>
      </w:r>
      <w:r>
        <w:rPr>
          <w:spacing w:val="-7"/>
        </w:rPr>
        <w:t xml:space="preserve"> </w:t>
      </w:r>
      <w:r>
        <w:rPr/>
        <w:t>Vishwanath</w:t>
      </w:r>
      <w:r>
        <w:rPr>
          <w:spacing w:val="-7"/>
        </w:rPr>
        <w:t xml:space="preserve"> </w:t>
      </w:r>
      <w:r>
        <w:rPr/>
        <w:t>Karad</w:t>
      </w:r>
      <w:r>
        <w:rPr>
          <w:spacing w:val="-7"/>
        </w:rPr>
        <w:t xml:space="preserve"> </w:t>
      </w:r>
      <w:r>
        <w:rPr/>
        <w:t>MIT-World</w:t>
      </w:r>
      <w:r>
        <w:rPr>
          <w:spacing w:val="-6"/>
        </w:rPr>
        <w:t xml:space="preserve"> </w:t>
      </w:r>
      <w:r>
        <w:rPr/>
        <w:t>Peace</w:t>
      </w:r>
      <w:r>
        <w:rPr>
          <w:spacing w:val="-6"/>
        </w:rPr>
        <w:t xml:space="preserve"> </w:t>
      </w:r>
      <w:r>
        <w:rPr/>
        <w:t>University</w:t>
      </w:r>
      <w:r>
        <w:rPr>
          <w:spacing w:val="-7"/>
        </w:rPr>
        <w:t xml:space="preserve"> </w:t>
      </w:r>
      <w:r>
        <w:rPr/>
        <w:t>(MIT-WPU) School of Computer Science and Engineering, DCET</w:t>
      </w:r>
    </w:p>
    <w:p>
      <w:pPr>
        <w:pStyle w:val="BodyText"/>
        <w:ind w:left="360"/>
        <w:jc w:val="center"/>
        <w:rPr/>
      </w:pPr>
      <w:r>
        <w:rPr>
          <w:spacing w:val="-2"/>
        </w:rPr>
        <w:t>T.Y.B.Tech.CSE(AIDS)                                                                               SEMINAR [AID3PR02A]</w:t>
      </w:r>
    </w:p>
    <w:p>
      <w:pPr>
        <w:pStyle w:val="BodyText"/>
        <w:rPr/>
      </w:pPr>
      <w:r>
        <w:rPr/>
      </w:r>
    </w:p>
    <w:p>
      <w:pPr>
        <w:pStyle w:val="BodyText"/>
        <w:ind w:left="3531"/>
        <w:rPr/>
      </w:pPr>
      <w:r>
        <w:rPr/>
        <w:t>T.Y.</w:t>
      </w:r>
      <w:r>
        <w:rPr>
          <w:spacing w:val="-2"/>
        </w:rPr>
        <w:t xml:space="preserve"> </w:t>
      </w:r>
      <w:r>
        <w:rPr/>
        <w:t>Semester-VI</w:t>
      </w:r>
      <w:r>
        <w:rPr>
          <w:spacing w:val="-1"/>
        </w:rPr>
        <w:t xml:space="preserve"> </w:t>
      </w:r>
      <w:r>
        <w:rPr/>
        <w:t>(25-26)</w:t>
      </w:r>
      <w:r>
        <w:rPr>
          <w:spacing w:val="-1"/>
        </w:rPr>
        <w:t xml:space="preserve"> </w:t>
      </w:r>
      <w:r>
        <w:rPr/>
        <w:t>Seminar</w:t>
      </w:r>
      <w:r>
        <w:rPr>
          <w:spacing w:val="-2"/>
        </w:rPr>
        <w:t xml:space="preserve"> Synopsis</w:t>
      </w:r>
    </w:p>
    <w:p>
      <w:pPr>
        <w:pStyle w:val="BodyText"/>
        <w:spacing w:before="140" w:after="1"/>
        <w:rPr>
          <w:sz w:val="20"/>
        </w:rPr>
      </w:pPr>
      <w:r>
        <w:rPr>
          <w:sz w:val="20"/>
        </w:rPr>
      </w:r>
    </w:p>
    <w:tbl>
      <w:tblPr>
        <w:tblW w:w="10493" w:type="dxa"/>
        <w:jc w:val="left"/>
        <w:tblInd w:w="345" w:type="dxa"/>
        <w:tblLayout w:type="fixed"/>
        <w:tblCellMar>
          <w:top w:w="0" w:type="dxa"/>
          <w:left w:w="5" w:type="dxa"/>
          <w:bottom w:w="0" w:type="dxa"/>
          <w:right w:w="5" w:type="dxa"/>
        </w:tblCellMar>
        <w:tblLook w:val="01e0" w:noHBand="0" w:noVBand="0" w:firstColumn="1" w:lastRow="1" w:lastColumn="1" w:firstRow="1"/>
      </w:tblPr>
      <w:tblGrid>
        <w:gridCol w:w="1845"/>
        <w:gridCol w:w="8647"/>
      </w:tblGrid>
      <w:tr>
        <w:trPr>
          <w:trHeight w:val="254"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34"/>
              <w:rPr>
                <w:b/>
              </w:rPr>
            </w:pPr>
            <w:r>
              <w:rPr>
                <w:b/>
              </w:rPr>
              <w:t>Name</w:t>
            </w:r>
            <w:r>
              <w:rPr>
                <w:b/>
                <w:spacing w:val="-2"/>
              </w:rPr>
              <w:t xml:space="preserve"> </w:t>
            </w:r>
            <w:r>
              <w:rPr>
                <w:b/>
              </w:rPr>
              <w:t>of</w:t>
            </w:r>
            <w:r>
              <w:rPr>
                <w:b/>
                <w:spacing w:val="-2"/>
              </w:rPr>
              <w:t xml:space="preserve"> Student</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Chaitanya Parate</w:t>
            </w:r>
          </w:p>
        </w:tc>
      </w:tr>
      <w:tr>
        <w:trPr>
          <w:trHeight w:val="251"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32"/>
              <w:rPr>
                <w:b/>
              </w:rPr>
            </w:pPr>
            <w:r>
              <w:rPr>
                <w:b/>
              </w:rPr>
              <w:t>PRN</w:t>
            </w:r>
            <w:r>
              <w:rPr>
                <w:b/>
                <w:spacing w:val="-2"/>
              </w:rPr>
              <w:t xml:space="preserve"> </w:t>
            </w:r>
            <w:r>
              <w:rPr>
                <w:b/>
                <w:spacing w:val="-5"/>
              </w:rPr>
              <w:t>No.</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1032230750</w:t>
            </w:r>
          </w:p>
        </w:tc>
      </w:tr>
      <w:tr>
        <w:trPr>
          <w:trHeight w:val="253"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34"/>
              <w:rPr>
                <w:b/>
              </w:rPr>
            </w:pPr>
            <w:r>
              <w:rPr>
                <w:b/>
              </w:rPr>
              <w:t>Roll</w:t>
            </w:r>
            <w:r>
              <w:rPr>
                <w:b/>
                <w:spacing w:val="-1"/>
              </w:rPr>
              <w:t xml:space="preserve"> </w:t>
            </w:r>
            <w:r>
              <w:rPr>
                <w:b/>
                <w:spacing w:val="-5"/>
              </w:rPr>
              <w:t>No.</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19</w:t>
            </w:r>
          </w:p>
        </w:tc>
      </w:tr>
      <w:tr>
        <w:trPr>
          <w:trHeight w:val="251"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32"/>
              <w:rPr>
                <w:b/>
              </w:rPr>
            </w:pPr>
            <w:r>
              <w:rPr>
                <w:b/>
              </w:rPr>
              <w:t>Panel</w:t>
            </w:r>
            <w:r>
              <w:rPr>
                <w:b/>
                <w:spacing w:val="-1"/>
              </w:rPr>
              <w:t xml:space="preserve"> </w:t>
            </w:r>
            <w:r>
              <w:rPr>
                <w:b/>
                <w:spacing w:val="-5"/>
              </w:rPr>
              <w:t>No.</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A</w:t>
            </w:r>
          </w:p>
        </w:tc>
      </w:tr>
      <w:tr>
        <w:trPr>
          <w:trHeight w:val="254"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33" w:before="1" w:after="0"/>
              <w:rPr>
                <w:b/>
              </w:rPr>
            </w:pPr>
            <w:r>
              <w:rPr>
                <w:b/>
                <w:spacing w:val="-4"/>
              </w:rPr>
              <w:t>Date</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r>
          </w:p>
        </w:tc>
      </w:tr>
      <w:tr>
        <w:trPr>
          <w:trHeight w:val="530"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rPr>
                <w:b/>
              </w:rPr>
            </w:pPr>
            <w:r>
              <w:rPr>
                <w:b/>
                <w:spacing w:val="-2"/>
              </w:rPr>
              <w:t>Topic</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Morphology-Generalizable Robotic Control via Graph Neural Network Reinforcement Learning with Language-Guided Planning</w:t>
            </w:r>
          </w:p>
        </w:tc>
      </w:tr>
      <w:tr>
        <w:trPr>
          <w:trHeight w:val="3518"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ind w:left="110" w:right="156"/>
              <w:rPr>
                <w:b/>
                <w:sz w:val="24"/>
              </w:rPr>
            </w:pPr>
            <w:r>
              <w:rPr>
                <w:b/>
                <w:sz w:val="24"/>
              </w:rPr>
              <w:t>Abstract (one paragraph of 200-300</w:t>
            </w:r>
            <w:r>
              <w:rPr>
                <w:b/>
                <w:spacing w:val="-15"/>
                <w:sz w:val="24"/>
              </w:rPr>
              <w:t xml:space="preserve"> </w:t>
            </w:r>
            <w:r>
              <w:rPr>
                <w:b/>
                <w:sz w:val="24"/>
              </w:rPr>
              <w:t>words)</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Recent advances in Reinforcement Learning (RL) have enabled robots to learn locomotion and navigation skills within simulated environments. However, most RL-based control policies represent robot states as fixed-length vectors tied to a specific robot morphology, causing significant performance degradation when the physical structure of the robot changes. This limitation restricts scalability in adaptive robotics and embodied artificial intelligence systems. Simultaneously, Large Language Models (LLMs) have demonstrated strong reasoning and task-planning capabilities but lack reliable low-level control required for physical interaction with environments. This project proposes a hierarchical autonomous robotic framework that combines morphology-generalizable control with high-level reasoning inside a Gazebo-based simulation environment. The proposed system models robot structures as graphs where joints are represented as nodes and physical connections as edges, enabling Graph Neural Network (GNN) policies trained using Proximal Policy Optimization (PPO) to learn relational inductive biases for improved structural generalization. A vision module generates structured scene representations from simulated sensor inputs, which are provided to an LLM responsible for task decomposition and decision planning. The LLM produces semantic action goals that are executed through the learned GNN-based reinforcement learning controller integrated via ROS2. Experimental evaluation compares traditional multilayer perceptron (MLP) policies with GNN-based policies under morphology perturbations such as limb modification and structural variation. Performance is analyzed using task success rate, reward stability, and zero-shot morphological generalization gap across multiple simulated robots. The study aims to demonstrate that combining relational policy learning with language-guided planning improves robustness, adaptability, and autonomous decision-making in embodied robotic agents operating in dynamic environments.</w:t>
            </w:r>
          </w:p>
        </w:tc>
      </w:tr>
      <w:tr>
        <w:trPr>
          <w:trHeight w:val="551"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Rule="exact" w:line="276"/>
              <w:ind w:left="110" w:right="556"/>
              <w:rPr>
                <w:b/>
                <w:sz w:val="24"/>
              </w:rPr>
            </w:pPr>
            <w:r>
              <w:rPr>
                <w:b/>
                <w:spacing w:val="-2"/>
                <w:sz w:val="24"/>
              </w:rPr>
              <w:t xml:space="preserve">Keywords </w:t>
            </w:r>
            <w:r>
              <w:rPr>
                <w:b/>
                <w:sz w:val="24"/>
              </w:rPr>
              <w:t>(3-5</w:t>
            </w:r>
            <w:r>
              <w:rPr>
                <w:b/>
                <w:spacing w:val="-4"/>
                <w:sz w:val="24"/>
              </w:rPr>
              <w:t xml:space="preserve"> </w:t>
            </w:r>
            <w:r>
              <w:rPr>
                <w:b/>
                <w:spacing w:val="-2"/>
                <w:sz w:val="24"/>
              </w:rPr>
              <w:t>words)</w:t>
            </w:r>
          </w:p>
        </w:tc>
        <w:tc>
          <w:tcPr>
            <w:tcW w:w="8647" w:type="dxa"/>
            <w:tcBorders>
              <w:top w:val="single" w:sz="4" w:space="0" w:color="000000"/>
              <w:left w:val="single" w:sz="4" w:space="0" w:color="000000"/>
              <w:bottom w:val="single" w:sz="4" w:space="0" w:color="000000"/>
              <w:right w:val="single" w:sz="4" w:space="0" w:color="000000"/>
            </w:tcBorders>
          </w:tcPr>
          <w:p>
            <w:pPr>
              <w:pStyle w:val="TableParagraph"/>
              <w:ind w:left="0"/>
              <w:rPr>
                <w:sz w:val="24"/>
                <w:szCs w:val="24"/>
              </w:rPr>
            </w:pPr>
            <w:r>
              <w:rPr>
                <w:sz w:val="24"/>
                <w:szCs w:val="24"/>
              </w:rPr>
              <w:t>Reinforcement Learning, Graph Neural Networks, Embodied AI, Morphology Generalization, Vision-Language Robotics</w:t>
            </w:r>
          </w:p>
        </w:tc>
      </w:tr>
      <w:tr>
        <w:trPr>
          <w:trHeight w:val="2569" w:hRule="atLeast"/>
        </w:trPr>
        <w:tc>
          <w:tcPr>
            <w:tcW w:w="1845" w:type="dxa"/>
            <w:tcBorders>
              <w:top w:val="single" w:sz="4" w:space="0" w:color="000000"/>
              <w:left w:val="single" w:sz="4" w:space="0" w:color="000000"/>
              <w:bottom w:val="single" w:sz="4" w:space="0" w:color="000000"/>
              <w:right w:val="single" w:sz="4" w:space="0" w:color="000000"/>
            </w:tcBorders>
          </w:tcPr>
          <w:p>
            <w:pPr>
              <w:pStyle w:val="TableParagraph"/>
              <w:ind w:left="110" w:right="608"/>
              <w:rPr>
                <w:b/>
                <w:sz w:val="24"/>
              </w:rPr>
            </w:pPr>
            <w:r>
              <w:rPr>
                <w:b/>
                <w:spacing w:val="-2"/>
                <w:sz w:val="24"/>
              </w:rPr>
              <w:t>References (08-10</w:t>
            </w:r>
          </w:p>
          <w:p>
            <w:pPr>
              <w:pStyle w:val="TableParagraph"/>
              <w:ind w:left="110" w:right="122"/>
              <w:rPr>
                <w:b/>
                <w:sz w:val="24"/>
              </w:rPr>
            </w:pPr>
            <w:r>
              <w:rPr>
                <w:b/>
                <w:spacing w:val="-2"/>
                <w:sz w:val="24"/>
              </w:rPr>
              <w:t xml:space="preserve">Research </w:t>
            </w:r>
            <w:r>
              <w:rPr>
                <w:b/>
                <w:sz w:val="24"/>
              </w:rPr>
              <w:t>papers</w:t>
            </w:r>
            <w:r>
              <w:rPr>
                <w:b/>
                <w:spacing w:val="-15"/>
                <w:sz w:val="24"/>
              </w:rPr>
              <w:t xml:space="preserve"> </w:t>
            </w:r>
            <w:r>
              <w:rPr>
                <w:b/>
                <w:sz w:val="24"/>
              </w:rPr>
              <w:t>in</w:t>
            </w:r>
            <w:r>
              <w:rPr>
                <w:b/>
                <w:spacing w:val="-15"/>
                <w:sz w:val="24"/>
              </w:rPr>
              <w:t xml:space="preserve"> </w:t>
            </w:r>
            <w:r>
              <w:rPr>
                <w:b/>
                <w:sz w:val="24"/>
              </w:rPr>
              <w:t xml:space="preserve">IEEE </w:t>
            </w:r>
            <w:r>
              <w:rPr>
                <w:b/>
                <w:spacing w:val="-2"/>
                <w:sz w:val="24"/>
              </w:rPr>
              <w:t>format)</w:t>
            </w:r>
          </w:p>
        </w:tc>
        <w:tc>
          <w:tcPr>
            <w:tcW w:w="8647" w:type="dxa"/>
            <w:tcBorders>
              <w:top w:val="single" w:sz="4" w:space="0" w:color="000000"/>
              <w:left w:val="single" w:sz="4" w:space="0" w:color="000000"/>
              <w:bottom w:val="single" w:sz="4" w:space="0" w:color="000000"/>
              <w:right w:val="single" w:sz="4" w:space="0" w:color="000000"/>
            </w:tcBorders>
          </w:tcPr>
          <w:p>
            <w:pPr>
              <w:pStyle w:val="BodyText"/>
              <w:widowControl w:val="false"/>
              <w:numPr>
                <w:ilvl w:val="0"/>
                <w:numId w:val="1"/>
              </w:numPr>
              <w:bidi w:val="0"/>
              <w:spacing w:before="267" w:after="0"/>
              <w:ind w:hanging="360" w:left="720" w:right="0"/>
              <w:jc w:val="left"/>
              <w:rPr/>
            </w:pPr>
            <w:r>
              <w:rPr>
                <w:b w:val="false"/>
                <w:bCs w:val="false"/>
              </w:rPr>
              <w:t xml:space="preserve">P. W. Battaglia et al., “Relational inductive biases, deep learning, and graph networks,” </w:t>
            </w:r>
            <w:r>
              <w:rPr>
                <w:rStyle w:val="Emphasis"/>
                <w:b w:val="false"/>
                <w:bCs w:val="false"/>
              </w:rPr>
              <w:t>arXiv preprint arXiv:1806.01261</w:t>
            </w:r>
            <w:r>
              <w:rPr>
                <w:b w:val="false"/>
                <w:bCs w:val="false"/>
              </w:rPr>
              <w:t>, 2018.</w:t>
            </w:r>
          </w:p>
          <w:p>
            <w:pPr>
              <w:pStyle w:val="BodyText"/>
              <w:widowControl w:val="false"/>
              <w:bidi w:val="0"/>
              <w:spacing w:before="267" w:after="0"/>
              <w:ind w:hanging="0" w:left="720" w:right="0"/>
              <w:jc w:val="left"/>
              <w:rPr>
                <w:b w:val="false"/>
                <w:bCs w:val="false"/>
              </w:rPr>
            </w:pPr>
            <w:r>
              <w:rPr/>
            </w:r>
          </w:p>
          <w:p>
            <w:pPr>
              <w:pStyle w:val="BodyText"/>
              <w:numPr>
                <w:ilvl w:val="0"/>
                <w:numId w:val="1"/>
              </w:numPr>
              <w:spacing w:before="0" w:after="283"/>
              <w:rPr/>
            </w:pPr>
            <w:r>
              <w:rPr>
                <w:b w:val="false"/>
                <w:bCs w:val="false"/>
              </w:rPr>
              <w:t xml:space="preserve">T. Wang, C. Bao, J. Clune, and J. Lehman, “NerveNet: Learning structured policy with graph neural networks,” in </w:t>
            </w:r>
            <w:r>
              <w:rPr>
                <w:rStyle w:val="Emphasis"/>
                <w:b w:val="false"/>
                <w:bCs w:val="false"/>
              </w:rPr>
              <w:t>Proc. Int. Conf. Learn. Representations (ICLR)</w:t>
            </w:r>
            <w:r>
              <w:rPr>
                <w:b w:val="false"/>
                <w:bCs w:val="false"/>
              </w:rPr>
              <w:t>, 2018.</w:t>
            </w:r>
          </w:p>
          <w:p>
            <w:pPr>
              <w:pStyle w:val="BodyText"/>
              <w:numPr>
                <w:ilvl w:val="0"/>
                <w:numId w:val="1"/>
              </w:numPr>
              <w:spacing w:before="0" w:after="283"/>
              <w:rPr/>
            </w:pPr>
            <w:r>
              <w:rPr>
                <w:b w:val="false"/>
                <w:bCs w:val="false"/>
              </w:rPr>
              <w:t xml:space="preserve">J. Schulman, F. Wolski, P. Dhariwal, A. Radford, and O. Klimov, “Proximal policy optimization algorithms,” </w:t>
            </w:r>
            <w:r>
              <w:rPr>
                <w:rStyle w:val="Emphasis"/>
                <w:b w:val="false"/>
                <w:bCs w:val="false"/>
              </w:rPr>
              <w:t>arXiv preprint arXiv:1707.06347</w:t>
            </w:r>
            <w:r>
              <w:rPr>
                <w:b w:val="false"/>
                <w:bCs w:val="false"/>
              </w:rPr>
              <w:t>, 2017.</w:t>
            </w:r>
          </w:p>
          <w:p>
            <w:pPr>
              <w:pStyle w:val="BodyText"/>
              <w:numPr>
                <w:ilvl w:val="0"/>
                <w:numId w:val="1"/>
              </w:numPr>
              <w:spacing w:before="0" w:after="283"/>
              <w:rPr/>
            </w:pPr>
            <w:r>
              <w:rPr>
                <w:b w:val="false"/>
                <w:bCs w:val="false"/>
              </w:rPr>
              <w:t xml:space="preserve">E. Todorov, T. Erez, and Y. Tassa, “MuJoCo: A physics engine for model-based control,” in </w:t>
            </w:r>
            <w:r>
              <w:rPr>
                <w:rStyle w:val="Emphasis"/>
                <w:b w:val="false"/>
                <w:bCs w:val="false"/>
              </w:rPr>
              <w:t>Proc. IEEE/RSJ Int. Conf. Intelligent Robots and Systems (IROS)</w:t>
            </w:r>
            <w:r>
              <w:rPr>
                <w:b w:val="false"/>
                <w:bCs w:val="false"/>
              </w:rPr>
              <w:t>, 2012, pp. 5026 to 5033.</w:t>
            </w:r>
          </w:p>
          <w:p>
            <w:pPr>
              <w:pStyle w:val="BodyText"/>
              <w:numPr>
                <w:ilvl w:val="0"/>
                <w:numId w:val="1"/>
              </w:numPr>
              <w:spacing w:before="0" w:after="283"/>
              <w:rPr/>
            </w:pPr>
            <w:r>
              <w:rPr>
                <w:b w:val="false"/>
                <w:bCs w:val="false"/>
              </w:rPr>
              <w:t xml:space="preserve">S. Huang, T. Zhou, and J. Clune, “Shared modular policies for agent-agnostic control,” in </w:t>
            </w:r>
            <w:r>
              <w:rPr>
                <w:rStyle w:val="Emphasis"/>
                <w:b w:val="false"/>
                <w:bCs w:val="false"/>
              </w:rPr>
              <w:t>Proc. Int. Conf. Machine Learning (ICML)</w:t>
            </w:r>
            <w:r>
              <w:rPr>
                <w:b w:val="false"/>
                <w:bCs w:val="false"/>
              </w:rPr>
              <w:t>, 2020.</w:t>
            </w:r>
          </w:p>
          <w:p>
            <w:pPr>
              <w:pStyle w:val="BodyText"/>
              <w:numPr>
                <w:ilvl w:val="0"/>
                <w:numId w:val="1"/>
              </w:numPr>
              <w:spacing w:before="0" w:after="283"/>
              <w:rPr/>
            </w:pPr>
            <w:r>
              <w:rPr>
                <w:b w:val="false"/>
                <w:bCs w:val="false"/>
              </w:rPr>
              <w:t xml:space="preserve">A. Sanchez-Gonzalez et al., “Graph networks as learnable physics engines for inference and control,” in </w:t>
            </w:r>
            <w:r>
              <w:rPr>
                <w:rStyle w:val="Emphasis"/>
                <w:b w:val="false"/>
                <w:bCs w:val="false"/>
              </w:rPr>
              <w:t>Proc. Int. Conf. Machine Learning (ICML)</w:t>
            </w:r>
            <w:r>
              <w:rPr>
                <w:b w:val="false"/>
                <w:bCs w:val="false"/>
              </w:rPr>
              <w:t>, 2018.</w:t>
            </w:r>
          </w:p>
          <w:p>
            <w:pPr>
              <w:pStyle w:val="BodyText"/>
              <w:numPr>
                <w:ilvl w:val="0"/>
                <w:numId w:val="1"/>
              </w:numPr>
              <w:spacing w:before="0" w:after="283"/>
              <w:rPr/>
            </w:pPr>
            <w:r>
              <w:rPr>
                <w:b w:val="false"/>
                <w:bCs w:val="false"/>
              </w:rPr>
              <w:t xml:space="preserve">B. Mandlekar et al., “Robot learning in simulation: Challenges and opportunities,” </w:t>
            </w:r>
            <w:r>
              <w:rPr>
                <w:rStyle w:val="Emphasis"/>
                <w:b w:val="false"/>
                <w:bCs w:val="false"/>
              </w:rPr>
              <w:t>Annual Review of Control, Robotics, and Autonomous Systems</w:t>
            </w:r>
            <w:r>
              <w:rPr>
                <w:b w:val="false"/>
                <w:bCs w:val="false"/>
              </w:rPr>
              <w:t>, vol. 5, pp. 423 to 448, 2022.</w:t>
            </w:r>
          </w:p>
          <w:p>
            <w:pPr>
              <w:pStyle w:val="BodyText"/>
              <w:numPr>
                <w:ilvl w:val="0"/>
                <w:numId w:val="1"/>
              </w:numPr>
              <w:spacing w:before="0" w:after="283"/>
              <w:rPr/>
            </w:pPr>
            <w:r>
              <w:rPr>
                <w:b w:val="false"/>
                <w:bCs w:val="false"/>
              </w:rPr>
              <w:t xml:space="preserve">W. Liang et al., “Code as policies: Language model programs for embodied control,” in </w:t>
            </w:r>
            <w:r>
              <w:rPr>
                <w:rStyle w:val="Emphasis"/>
                <w:b w:val="false"/>
                <w:bCs w:val="false"/>
              </w:rPr>
              <w:t>Proc. IEEE Int. Conf. Robotics and Automation (ICRA)</w:t>
            </w:r>
            <w:r>
              <w:rPr>
                <w:b w:val="false"/>
                <w:bCs w:val="false"/>
              </w:rPr>
              <w:t>, 2023.</w:t>
            </w:r>
          </w:p>
          <w:p>
            <w:pPr>
              <w:pStyle w:val="BodyText"/>
              <w:numPr>
                <w:ilvl w:val="0"/>
                <w:numId w:val="1"/>
              </w:numPr>
              <w:spacing w:before="0" w:after="283"/>
              <w:rPr/>
            </w:pPr>
            <w:r>
              <w:rPr>
                <w:b w:val="false"/>
                <w:bCs w:val="false"/>
              </w:rPr>
              <w:t xml:space="preserve">D. Driess et al., “PaLM-E: An embodied multimodal language model,” </w:t>
            </w:r>
            <w:r>
              <w:rPr>
                <w:rStyle w:val="Emphasis"/>
                <w:b w:val="false"/>
                <w:bCs w:val="false"/>
              </w:rPr>
              <w:t>arXiv preprint arXiv:2303.03378</w:t>
            </w:r>
            <w:r>
              <w:rPr>
                <w:b w:val="false"/>
                <w:bCs w:val="false"/>
              </w:rPr>
              <w:t>, 2023.</w:t>
            </w:r>
          </w:p>
          <w:p>
            <w:pPr>
              <w:pStyle w:val="TableParagraph"/>
              <w:widowControl w:val="false"/>
              <w:bidi w:val="0"/>
              <w:spacing w:before="267" w:after="0"/>
              <w:ind w:hanging="0" w:left="89" w:right="0"/>
              <w:jc w:val="left"/>
              <w:rPr/>
            </w:pPr>
            <w:r>
              <w:rPr/>
            </w:r>
          </w:p>
        </w:tc>
      </w:tr>
    </w:tbl>
    <w:p>
      <w:pPr>
        <w:pStyle w:val="BodyText"/>
        <w:rPr/>
      </w:pPr>
      <w:r>
        <w:rPr/>
      </w:r>
    </w:p>
    <w:p>
      <w:pPr>
        <w:pStyle w:val="BodyText"/>
        <w:tabs>
          <w:tab w:val="clear" w:pos="720"/>
          <w:tab w:val="left" w:pos="6901" w:leader="none"/>
          <w:tab w:val="left" w:pos="7501" w:leader="none"/>
        </w:tabs>
        <w:ind w:hanging="420" w:left="1500" w:right="1393"/>
        <w:rPr/>
      </w:pPr>
      <w:r>
        <w:rPr/>
      </w:r>
    </w:p>
    <w:p>
      <w:pPr>
        <w:pStyle w:val="BodyText"/>
        <w:tabs>
          <w:tab w:val="clear" w:pos="720"/>
          <w:tab w:val="left" w:pos="6901" w:leader="none"/>
          <w:tab w:val="left" w:pos="7501" w:leader="none"/>
        </w:tabs>
        <w:ind w:hanging="420" w:left="1500" w:right="1393"/>
        <w:rPr/>
      </w:pPr>
      <w:r>
        <w:rPr/>
      </w:r>
    </w:p>
    <w:p>
      <w:pPr>
        <w:pStyle w:val="BodyText"/>
        <w:tabs>
          <w:tab w:val="clear" w:pos="720"/>
          <w:tab w:val="left" w:pos="6901" w:leader="none"/>
          <w:tab w:val="left" w:pos="7501" w:leader="none"/>
        </w:tabs>
        <w:ind w:hanging="420" w:left="1500" w:right="1393"/>
        <w:rPr/>
      </w:pPr>
      <w:r>
        <w:rPr/>
        <w:t>Seminar Guide Name</w:t>
        <w:tab/>
        <w:t>Seminar</w:t>
      </w:r>
      <w:r>
        <w:rPr>
          <w:spacing w:val="-15"/>
        </w:rPr>
        <w:t xml:space="preserve"> </w:t>
      </w:r>
      <w:r>
        <w:rPr/>
        <w:t>Coordinator</w:t>
      </w:r>
      <w:r>
        <w:rPr>
          <w:spacing w:val="-15"/>
        </w:rPr>
        <w:t xml:space="preserve">        Dr. Deepali  Javale</w:t>
      </w:r>
      <w:r>
        <w:rPr/>
        <w:tab/>
        <w:tab/>
      </w:r>
    </w:p>
    <w:sectPr>
      <w:type w:val="nextPage"/>
      <w:pgSz w:w="12240" w:h="15840"/>
      <w:pgMar w:left="360" w:right="720" w:gutter="0" w:header="0" w:top="6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b/>
      <w:bCs/>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left="11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LibreOffice/24.2.7.2$Linux_X86_64 LibreOffice_project/420$Build-2</Application>
  <AppVersion>15.0000</AppVersion>
  <Pages>2</Pages>
  <Words>541</Words>
  <Characters>3531</Characters>
  <CharactersWithSpaces>4121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2026-02-09T03:44:00Z</dcterms:created>
  <dc:creator>Administrator</dc:creator>
  <dc:description/>
  <dc:language>en-US</dc:language>
  <cp:lastModifiedBy/>
  <dcterms:modified xsi:type="dcterms:W3CDTF">2026-02-26T00:43:34Z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2013</vt:lpwstr>
  </property>
  <property fmtid="{D5CDD505-2E9C-101B-9397-08002B2CF9AE}" pid="4" name="LastSaved">
    <vt:filetime>2026-02-09T00:00:00Z</vt:filetime>
  </property>
  <property fmtid="{D5CDD505-2E9C-101B-9397-08002B2CF9AE}" pid="5" name="Producer">
    <vt:lpwstr>Microsoft® Word 2013</vt:lpwstr>
  </property>
</Properties>
</file>