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rFonts w:eastAsia="Times New Roman" w:cs="Times New Roman"/>
          <w:b/>
          <w:bCs/>
          <w:sz w:val="28"/>
          <w:szCs w:val="28"/>
        </w:rPr>
        <w:t>Morphology-Generalizable Robotic Control via Graph Neural Network Reinforcement Learning with Language-Guided Planning</w:t>
      </w:r>
    </w:p>
    <w:p>
      <w:pPr>
        <w:pStyle w:val="Normal"/>
        <w:spacing w:before="0" w:after="60"/>
        <w:jc w:val="center"/>
        <w:rPr/>
      </w:pPr>
      <w:r>
        <w:rPr>
          <w:rFonts w:eastAsia="Times New Roman" w:cs="Times New Roman"/>
          <w:b/>
          <w:bCs/>
          <w:sz w:val="22"/>
          <w:szCs w:val="22"/>
        </w:rPr>
        <w:t>Chaitanya Parate</w:t>
      </w:r>
    </w:p>
    <w:p>
      <w:pPr>
        <w:pStyle w:val="Normal"/>
        <w:spacing w:before="0" w:after="40"/>
        <w:jc w:val="center"/>
        <w:rPr/>
      </w:pPr>
      <w:r>
        <w:rPr>
          <w:rFonts w:eastAsia="Times New Roman" w:cs="Times New Roman"/>
          <w:i/>
          <w:iCs/>
          <w:sz w:val="20"/>
          <w:szCs w:val="20"/>
        </w:rPr>
        <w:t>Department of Computer Science and Engineering (Artificial Intelligence and Data Science)</w:t>
      </w:r>
    </w:p>
    <w:p>
      <w:pPr>
        <w:pStyle w:val="Normal"/>
        <w:spacing w:before="0" w:after="40"/>
        <w:jc w:val="center"/>
        <w:rPr/>
      </w:pPr>
      <w:r>
        <w:rPr>
          <w:rFonts w:eastAsia="Times New Roman" w:cs="Times New Roman"/>
          <w:i/>
          <w:iCs/>
          <w:sz w:val="20"/>
          <w:szCs w:val="20"/>
        </w:rPr>
        <w:t>Dr. Vishwanath Karad MIT-World Peace University (MIT-WPU), Pune, Maharashtra, India</w:t>
      </w:r>
    </w:p>
    <w:p>
      <w:pPr>
        <w:pStyle w:val="Normal"/>
        <w:pBdr>
          <w:bottom w:val="single" w:sz="4" w:space="1" w:color="000000"/>
        </w:pBdr>
        <w:spacing w:before="80" w:after="80"/>
        <w:rPr/>
      </w:pPr>
      <w:r>
        <w:rPr/>
      </w:r>
    </w:p>
    <w:p>
      <w:pPr>
        <w:sectPr>
          <w:type w:val="nextPage"/>
          <w:pgSz w:w="12240" w:h="15840"/>
          <w:pgMar w:left="1080" w:right="1080" w:gutter="0" w:header="0" w:top="1080" w:footer="0" w:bottom="1440"/>
          <w:pgNumType w:fmt="decimal"/>
          <w:formProt w:val="false"/>
          <w:textDirection w:val="lrTb"/>
          <w:docGrid w:type="default" w:linePitch="360" w:charSpace="8192"/>
        </w:sectPr>
      </w:pPr>
    </w:p>
    <w:p>
      <w:pPr>
        <w:pStyle w:val="Normal"/>
        <w:spacing w:before="100" w:after="60"/>
        <w:jc w:val="both"/>
        <w:rPr/>
      </w:pPr>
      <w:r>
        <w:rPr>
          <w:rFonts w:eastAsia="Times New Roman" w:cs="Times New Roman"/>
          <w:b/>
          <w:bCs/>
          <w:sz w:val="18"/>
          <w:szCs w:val="18"/>
        </w:rPr>
        <w:t>Abstract</w:t>
      </w:r>
      <w:r>
        <w:rPr>
          <w:rFonts w:eastAsia="Times New Roman" w:cs="Times New Roman"/>
          <w:sz w:val="18"/>
          <w:szCs w:val="18"/>
        </w:rPr>
        <w:t xml:space="preserve"> — Recent advances in Reinforcement Learning (RL) have enabled robots to learn locomotion and navigation skills in simulated environments. However, most RL-based control policies encode robot state as fixed-length vectors tied to a specific morphology, causing catastrophic performance degradation when limb count or joint configuration changes. Simultaneously, Large Language Models (LLMs) demonstrate strong task-planning capabilities but lack reliable low-level motor control. This paper proposes a hierarchical embodied robotic framework combining morphology-generalizable control with language-guided planning. Robot morphology is modeled as a graph where joints are nodes and physical connections are edges, enabling a Graph Neural Network (GNN) policy trained via Proximal Policy Optimization (PPO) to learn relational inductive biases that generalize zero-shot across quadruped, hexapod, and damaged robot morphologies. A YOLOv8-based vision module generates structured scene representations published over ROS2, which an LLM planner consumes to perform high-level task decomposition. A Skill Translator component maps LLM output to goal-conditioned reward parameters executed by the GNN controller. Experimental evaluation quantifies the morphological generalization gap against a conventional MLP baseline across three robot configurations, demonstrating that explicit relational structure enables significantly reduced zero-shot transfer degradation.</w:t>
      </w:r>
    </w:p>
    <w:p>
      <w:pPr>
        <w:pStyle w:val="Normal"/>
        <w:spacing w:before="0" w:after="120"/>
        <w:jc w:val="both"/>
        <w:rPr/>
      </w:pPr>
      <w:r>
        <w:rPr>
          <w:rFonts w:eastAsia="Times New Roman" w:cs="Times New Roman"/>
          <w:b/>
          <w:bCs/>
          <w:sz w:val="18"/>
          <w:szCs w:val="18"/>
        </w:rPr>
        <w:t>Index Terms</w:t>
      </w:r>
      <w:r>
        <w:rPr>
          <w:rFonts w:eastAsia="Times New Roman" w:cs="Times New Roman"/>
          <w:sz w:val="18"/>
          <w:szCs w:val="18"/>
        </w:rPr>
        <w:t xml:space="preserve"> — Reinforcement Learning, Graph Neural Networks, Morphology Generalization, Embodied AI, Proximal Policy Optimization, ROS2, Zero-Shot Transfer, Vision-Language Robotics</w:t>
      </w:r>
    </w:p>
    <w:p>
      <w:pPr>
        <w:pStyle w:val="Normal"/>
        <w:pBdr>
          <w:bottom w:val="single" w:sz="4" w:space="1" w:color="000000"/>
        </w:pBdr>
        <w:spacing w:before="80" w:after="80"/>
        <w:rPr/>
      </w:pPr>
      <w:r>
        <w:rPr/>
      </w:r>
    </w:p>
    <w:p>
      <w:pPr>
        <w:pStyle w:val="Normal"/>
        <w:spacing w:before="200" w:after="100"/>
        <w:jc w:val="center"/>
        <w:rPr/>
      </w:pPr>
      <w:r>
        <w:rPr>
          <w:rFonts w:eastAsia="Times New Roman" w:cs="Times New Roman"/>
          <w:b/>
          <w:bCs/>
          <w:sz w:val="20"/>
          <w:szCs w:val="20"/>
        </w:rPr>
        <w:t>I. INTRODUCTION</w:t>
      </w:r>
    </w:p>
    <w:p>
      <w:pPr>
        <w:pStyle w:val="BodyText"/>
        <w:spacing w:lineRule="auto" w:line="252" w:before="40" w:after="40"/>
        <w:ind w:firstLine="576"/>
        <w:jc w:val="both"/>
        <w:rPr/>
      </w:pPr>
      <w:r>
        <w:rPr>
          <w:rFonts w:eastAsia="Times New Roman" w:cs="Times New Roman"/>
          <w:sz w:val="20"/>
          <w:szCs w:val="20"/>
        </w:rPr>
        <w:t xml:space="preserve">The capacity of an autonomous robotic agent to transfer locomotion behavior across varying physical configurations represents a fundamental unsolved challenge in embodied artificial intelligence. Traditional reinforcement learning approaches encode robot observations as fixed-dimensional vectors where each element corresponds to a specific joint of a predetermined morphology. A policy trained on a quadruped with twelve degrees of freedom (DOF) cannot be directly applied to an eighteen-DOF hexapod or a nine-DOF damaged quadruped without architectural modification and full retraining. This phenomenon, termed </w:t>
      </w:r>
      <w:r>
        <w:rPr>
          <w:rFonts w:eastAsia="Times New Roman" w:cs="Times New Roman"/>
          <w:i/>
          <w:iCs/>
          <w:sz w:val="20"/>
          <w:szCs w:val="20"/>
        </w:rPr>
        <w:t>morphological overfitting</w:t>
      </w:r>
      <w:r>
        <w:rPr>
          <w:rFonts w:eastAsia="Times New Roman" w:cs="Times New Roman"/>
          <w:sz w:val="20"/>
          <w:szCs w:val="20"/>
        </w:rPr>
        <w:t>, severely limits the practical scalability of RL-based robotic control in field deployment scenarios.</w:t>
      </w:r>
    </w:p>
    <w:p>
      <w:pPr>
        <w:pStyle w:val="BodyText"/>
        <w:spacing w:lineRule="auto" w:line="252" w:before="40" w:after="40"/>
        <w:ind w:firstLine="576"/>
        <w:jc w:val="both"/>
        <w:rPr/>
      </w:pPr>
      <w:r>
        <w:rPr>
          <w:rFonts w:eastAsia="Times New Roman" w:cs="Times New Roman"/>
          <w:sz w:val="20"/>
          <w:szCs w:val="20"/>
        </w:rPr>
        <w:t>Concurrently, Large Language Models have demonstrated remarkable capabilities in abstract reasoning and task decomposition. Frameworks such as SayCan [12] and Code as Policies [8] use LLMs as high-level planners. However, a fundamental temporal mismatch persists: LLMs operate at inference timescales of 800 ms to several seconds, while continuous low-level motor control requires actuation at 20 Hz or higher. Direct coupling of LLMs to motor commands produces unstable, unsafe behavior. Principled architectural separation between cognitive planning and motor execution is a necessary design constraint, not merely a performance optimization.</w:t>
      </w:r>
    </w:p>
    <w:p>
      <w:pPr>
        <w:pStyle w:val="BodyText"/>
        <w:spacing w:lineRule="auto" w:line="252" w:before="40" w:after="40"/>
        <w:ind w:firstLine="576"/>
        <w:jc w:val="both"/>
        <w:rPr/>
      </w:pPr>
      <w:r>
        <w:rPr>
          <w:rFonts w:eastAsia="Times New Roman" w:cs="Times New Roman"/>
          <w:sz w:val="20"/>
          <w:szCs w:val="20"/>
        </w:rPr>
        <w:t>This paper addresses both limitations through a hierarchical embodied architecture. At the low level, a GNN-based policy models robot morphology as a graph G = (V, E), enabling identical network weights to process quadruped, hexapod, and damaged robot graphs without architectural changes. At the high level, an LLM planner operating on a 5-second replanning cadence interprets natural language commands and YOLOv8-generated scene graphs. The Skill Translator bridges these two temporal domains by converting LLM output JSON into goal-conditioned reward parameters consumed by the GNN policy.</w:t>
      </w:r>
    </w:p>
    <w:p>
      <w:pPr>
        <w:pStyle w:val="BodyText"/>
        <w:spacing w:lineRule="auto" w:line="252" w:before="40" w:after="40"/>
        <w:ind w:firstLine="576"/>
        <w:jc w:val="both"/>
        <w:rPr/>
      </w:pPr>
      <w:r>
        <w:rPr>
          <w:rFonts w:eastAsia="Times New Roman" w:cs="Times New Roman"/>
          <w:sz w:val="20"/>
          <w:szCs w:val="20"/>
        </w:rPr>
        <w:t>The primary hypothesis investigated is: GNN-based policies will demonstrate a significantly reduced zero-shot generalization gap compared to MLP policies when evaluated on unseen robot morphologies. This hypothesis is grounded in the relational inductive bias argument: message-passing graph networks encode physical joint relationships explicitly, whereas flat vector representations treat all joints as independent dimensions with no structural awareness.</w:t>
      </w:r>
    </w:p>
    <w:p>
      <w:pPr>
        <w:pStyle w:val="BodyText"/>
        <w:spacing w:lineRule="auto" w:line="252" w:before="40" w:after="40"/>
        <w:ind w:firstLine="576"/>
        <w:jc w:val="both"/>
        <w:rPr/>
      </w:pPr>
      <w:r>
        <w:rPr>
          <w:rFonts w:eastAsia="Times New Roman" w:cs="Times New Roman"/>
          <w:sz w:val="20"/>
          <w:szCs w:val="20"/>
        </w:rPr>
        <w:t>The contributions of this work are: (1) systematic empirical comparison of MLP and GNN policies under morphology perturbation across three robot configurations; (2) a NerveNet-inspired GNN actor-critic using GATv2Conv with explicit edge features derived from URDF structural parameters; (3) decoupled LLM planning integrated with GNN motor control via ROS2; and (4) a reproducible full-stack simulation evaluation framework in Gazebo Harmonic.</w:t>
      </w:r>
    </w:p>
    <w:p>
      <w:pPr>
        <w:pStyle w:val="Normal"/>
        <w:spacing w:before="200" w:after="100"/>
        <w:jc w:val="center"/>
        <w:rPr/>
      </w:pPr>
      <w:r>
        <w:rPr>
          <w:rFonts w:eastAsia="Times New Roman" w:cs="Times New Roman"/>
          <w:b/>
          <w:bCs/>
          <w:sz w:val="20"/>
          <w:szCs w:val="20"/>
        </w:rPr>
        <w:t>II. RELATED WORK</w:t>
      </w:r>
    </w:p>
    <w:p>
      <w:pPr>
        <w:pStyle w:val="Normal"/>
        <w:spacing w:before="120" w:after="60"/>
        <w:ind w:hanging="0"/>
        <w:jc w:val="left"/>
        <w:rPr/>
      </w:pPr>
      <w:r>
        <w:rPr>
          <w:rFonts w:eastAsia="Times New Roman" w:cs="Times New Roman"/>
          <w:i/>
          <w:iCs/>
          <w:sz w:val="20"/>
          <w:szCs w:val="20"/>
        </w:rPr>
        <w:t>A. Relational Inductive Biases</w:t>
      </w:r>
    </w:p>
    <w:p>
      <w:pPr>
        <w:pStyle w:val="BodyText"/>
        <w:spacing w:lineRule="auto" w:line="252" w:before="40" w:after="40"/>
        <w:ind w:firstLine="576"/>
        <w:jc w:val="both"/>
        <w:rPr/>
      </w:pPr>
      <w:r>
        <w:rPr>
          <w:rFonts w:eastAsia="Times New Roman" w:cs="Times New Roman"/>
          <w:sz w:val="20"/>
          <w:szCs w:val="20"/>
        </w:rPr>
        <w:t>Battaglia et al. [1] provide a unifying theoretical framework for relational inductive biases across neural architectures. Their analysis of graph networks demonstrates that explicitly encoding relational structure enables combinatorial generalization that feed-forward networks fundamentally lack. Sanchez-Gonzalez et al. [6] extend this to physics simulation, showing graph networks can learn physical dynamics by representing objects as nodes and interactions as edges. Both works directly motivate modeling robot morphology as a graph rather than a fixed-dimensional vector.</w:t>
      </w:r>
    </w:p>
    <w:p>
      <w:pPr>
        <w:pStyle w:val="Normal"/>
        <w:spacing w:before="120" w:after="60"/>
        <w:ind w:hanging="0"/>
        <w:jc w:val="left"/>
        <w:rPr/>
      </w:pPr>
      <w:r>
        <w:rPr>
          <w:rFonts w:eastAsia="Times New Roman" w:cs="Times New Roman"/>
          <w:i/>
          <w:iCs/>
          <w:sz w:val="20"/>
          <w:szCs w:val="20"/>
        </w:rPr>
        <w:t>B. GNN-Based Robot Control</w:t>
      </w:r>
    </w:p>
    <w:p>
      <w:pPr>
        <w:pStyle w:val="BodyText"/>
        <w:spacing w:lineRule="auto" w:line="252" w:before="40" w:after="40"/>
        <w:ind w:firstLine="576"/>
        <w:jc w:val="both"/>
        <w:rPr/>
      </w:pPr>
      <w:r>
        <w:rPr>
          <w:rFonts w:eastAsia="Times New Roman" w:cs="Times New Roman"/>
          <w:sz w:val="20"/>
          <w:szCs w:val="20"/>
        </w:rPr>
        <w:t>Wang et al. [2] introduce NerveNet, the seminal work applying GNNs to robot control. NerveNet constructs a kinematic graph from the robot URDF and applies shared message-passing functions at each node, achieving zero-shot transfer across robots with different limb counts. Our architecture follows NerveNet with the critical modification of adopting GATv2Conv over GCNConv, enabling native edge feature incorporation. Huang et al. [5] advance this direction with Shared Modular Policies, demonstrating that parameter sharing across structurally similar components is a valid and effective inductive bias.</w:t>
      </w:r>
    </w:p>
    <w:p>
      <w:pPr>
        <w:pStyle w:val="Normal"/>
        <w:spacing w:before="120" w:after="60"/>
        <w:ind w:hanging="0"/>
        <w:jc w:val="left"/>
        <w:rPr/>
      </w:pPr>
      <w:r>
        <w:rPr>
          <w:rFonts w:eastAsia="Times New Roman" w:cs="Times New Roman"/>
          <w:i/>
          <w:iCs/>
          <w:sz w:val="20"/>
          <w:szCs w:val="20"/>
        </w:rPr>
        <w:t>C. Proximal Policy Optimization</w:t>
      </w:r>
    </w:p>
    <w:p>
      <w:pPr>
        <w:pStyle w:val="BodyText"/>
        <w:spacing w:lineRule="auto" w:line="252" w:before="40" w:after="40"/>
        <w:ind w:firstLine="576"/>
        <w:jc w:val="both"/>
        <w:rPr/>
      </w:pPr>
      <w:r>
        <w:rPr>
          <w:rFonts w:eastAsia="Times New Roman" w:cs="Times New Roman"/>
          <w:sz w:val="20"/>
          <w:szCs w:val="20"/>
        </w:rPr>
        <w:t>Schulman et al. [3] introduce PPO as a policy gradient algorithm that stabilizes training through a clipped surrogate objective. PPO has become the standard for continuous robotic control due to its sample efficiency and robustness to hyperparameter choice. This work adapts the CleanRL PPO implementation for graph-batched inputs, replacing the standard MLP policy with GNNActorCritic while preserving the rollout buffer and update logic.</w:t>
      </w:r>
    </w:p>
    <w:p>
      <w:pPr>
        <w:pStyle w:val="Normal"/>
        <w:spacing w:before="120" w:after="60"/>
        <w:ind w:hanging="0"/>
        <w:jc w:val="left"/>
        <w:rPr/>
      </w:pPr>
      <w:r>
        <w:rPr>
          <w:rFonts w:eastAsia="Times New Roman" w:cs="Times New Roman"/>
          <w:i/>
          <w:iCs/>
          <w:sz w:val="20"/>
          <w:szCs w:val="20"/>
        </w:rPr>
        <w:t>D. Physics Simulation</w:t>
      </w:r>
    </w:p>
    <w:p>
      <w:pPr>
        <w:pStyle w:val="BodyText"/>
        <w:spacing w:lineRule="auto" w:line="252" w:before="40" w:after="40"/>
        <w:ind w:firstLine="576"/>
        <w:jc w:val="both"/>
        <w:rPr/>
      </w:pPr>
      <w:r>
        <w:rPr>
          <w:rFonts w:eastAsia="Times New Roman" w:cs="Times New Roman"/>
          <w:sz w:val="20"/>
          <w:szCs w:val="20"/>
        </w:rPr>
        <w:t>Todorov et al. [4] present MuJoCo as the standard benchmark for continuous control. This work uses PyBullet instead, specifically for its open-source licensing and DIRECT mode that eliminates GPU rendering overhead during cloud training. Mandlekar et al. [7] survey the challenges of robot learning in simulation, highlighting sim-to-real transfer and environment design tradeoffs. Our explicit separation of PyBullet training from Gazebo visualization directly acknowledges these concerns.</w:t>
      </w:r>
    </w:p>
    <w:p>
      <w:pPr>
        <w:pStyle w:val="Normal"/>
        <w:spacing w:before="120" w:after="60"/>
        <w:ind w:hanging="0"/>
        <w:jc w:val="left"/>
        <w:rPr/>
      </w:pPr>
      <w:r>
        <w:rPr>
          <w:rFonts w:eastAsia="Times New Roman" w:cs="Times New Roman"/>
          <w:i/>
          <w:iCs/>
          <w:sz w:val="20"/>
          <w:szCs w:val="20"/>
        </w:rPr>
        <w:t>E. Language-Guided Robotic Planning</w:t>
      </w:r>
    </w:p>
    <w:p>
      <w:pPr>
        <w:pStyle w:val="BodyText"/>
        <w:spacing w:lineRule="auto" w:line="252" w:before="40" w:after="40"/>
        <w:ind w:firstLine="576"/>
        <w:jc w:val="both"/>
        <w:rPr/>
      </w:pPr>
      <w:r>
        <w:rPr>
          <w:rFonts w:eastAsia="Times New Roman" w:cs="Times New Roman"/>
          <w:sz w:val="20"/>
          <w:szCs w:val="20"/>
        </w:rPr>
        <w:t>Liang et al. [8] propose Code as Policies, using LLMs to generate interpretable Python programs expressing robot behavior. Driess et al. [9] introduce PaLM-E, grounding language understanding directly in visual and proprioceptive observations. Our approach differs by maintaining strict architectural separation between the LLM planning layer and the GNN motor control layer, decoupling their temporal requirements and avoiding instability from direct LLM-to-motor coupling.</w:t>
      </w:r>
    </w:p>
    <w:p>
      <w:pPr>
        <w:pStyle w:val="Normal"/>
        <w:spacing w:before="200" w:after="100"/>
        <w:jc w:val="center"/>
        <w:rPr/>
      </w:pPr>
      <w:r>
        <w:rPr>
          <w:rFonts w:eastAsia="Times New Roman" w:cs="Times New Roman"/>
          <w:b/>
          <w:bCs/>
          <w:sz w:val="20"/>
          <w:szCs w:val="20"/>
        </w:rPr>
        <w:t>III. SYSTEM ARCHITECTURE AND METHODOLOGY</w:t>
      </w:r>
    </w:p>
    <w:p>
      <w:pPr>
        <w:pStyle w:val="Normal"/>
        <w:spacing w:before="120" w:after="60"/>
        <w:ind w:hanging="0"/>
        <w:jc w:val="left"/>
        <w:rPr/>
      </w:pPr>
      <w:r>
        <w:rPr>
          <w:rFonts w:eastAsia="Times New Roman" w:cs="Times New Roman"/>
          <w:i/>
          <w:iCs/>
          <w:sz w:val="20"/>
          <w:szCs w:val="20"/>
        </w:rPr>
        <w:t>A. Graph Representation of Robot Morphology</w:t>
      </w:r>
    </w:p>
    <w:p>
      <w:pPr>
        <w:pStyle w:val="BodyText"/>
        <w:spacing w:lineRule="auto" w:line="252" w:before="40" w:after="40"/>
        <w:ind w:firstLine="576"/>
        <w:jc w:val="both"/>
        <w:rPr/>
      </w:pPr>
      <w:r>
        <w:rPr>
          <w:rFonts w:eastAsia="Times New Roman" w:cs="Times New Roman"/>
          <w:sz w:val="20"/>
          <w:szCs w:val="20"/>
        </w:rPr>
        <w:t>A custom URDFGraphBuilder parses the robot URDF to construct a directed graph G = (V, E). Each controllable joint becomes a node v_i, and a virtual body node v_0 is inserted at index 0 and connected to all four hip abduction/adduction (HAA) joints. This virtual body node is architecturally mandatory: without it, the four leg chains of a quadruped are topologically disconnected, preventing the cross-limb message passing required for coordinated locomotion. For the ANYmal B quadruped, the graph contains 13 nodes and 24 directed edges. The hexapod graph contains 19 nodes and 36 directed edges, and the damaged quadruped yields 10 nodes and 18 directed edges. The same parser produces all three graphs without modification.</w:t>
      </w:r>
    </w:p>
    <w:p>
      <w:pPr>
        <w:pStyle w:val="BodyText"/>
        <w:spacing w:lineRule="auto" w:line="252" w:before="40" w:after="40"/>
        <w:ind w:firstLine="576"/>
        <w:jc w:val="both"/>
        <w:rPr/>
      </w:pPr>
      <w:r>
        <w:rPr>
          <w:rFonts w:eastAsia="Times New Roman" w:cs="Times New Roman"/>
          <w:sz w:val="20"/>
          <w:szCs w:val="20"/>
        </w:rPr>
        <w:t>Each node carries a 13-dimensional feature vector. The static component (11 dimensions) comprises a 4-dimensional one-hot encoding of joint type (revolute, prismatic, fixed, virtual), a 3-dimensional unit vector of the joint rotation axis, and a 4-dimensional vector of lower limit, upper limit, velocity limit, and effort limit. The runtime component (2 dimensions) is the current joint position and velocity from the simulator. Static features are normalized at construction time; runtime observations are left unnormalized for PPO running statistics. Alphabetical joint ordering is enforced consistently in both the graph builder and the simulation environment, ensuring obs[0:12] and obs[12:24] map correctly to node indices without additional bookkeeping.</w:t>
      </w:r>
    </w:p>
    <w:p>
      <w:pPr>
        <w:pStyle w:val="BodyText"/>
        <w:spacing w:lineRule="auto" w:line="252" w:before="40" w:after="40"/>
        <w:ind w:firstLine="576"/>
        <w:jc w:val="both"/>
        <w:rPr/>
      </w:pPr>
      <w:r>
        <w:rPr>
          <w:rFonts w:eastAsia="Times New Roman" w:cs="Times New Roman"/>
          <w:sz w:val="20"/>
          <w:szCs w:val="20"/>
        </w:rPr>
        <w:t>Each directed edge carries a 4-dimensional feature vector: a binary parent flag, the 3-dimensional rotation axis of the source node, the normalized effort limit ratio, and a direction flag (+1.0 parent-to-child, -1.0 child-to-parent). The direction flag is categorical and excluded from normalization.</w:t>
      </w:r>
    </w:p>
    <w:p>
      <w:pPr>
        <w:pStyle w:val="Normal"/>
        <w:spacing w:before="120" w:after="60"/>
        <w:ind w:hanging="0"/>
        <w:jc w:val="left"/>
        <w:rPr/>
      </w:pPr>
      <w:r>
        <w:rPr>
          <w:rFonts w:eastAsia="Times New Roman" w:cs="Times New Roman"/>
          <w:i/>
          <w:iCs/>
          <w:sz w:val="20"/>
          <w:szCs w:val="20"/>
        </w:rPr>
        <w:t>B. GNN Actor-Critic Architecture</w:t>
      </w:r>
    </w:p>
    <w:p>
      <w:pPr>
        <w:pStyle w:val="BodyText"/>
        <w:spacing w:lineRule="auto" w:line="252" w:before="40" w:after="40"/>
        <w:ind w:firstLine="576"/>
        <w:jc w:val="both"/>
        <w:rPr/>
      </w:pPr>
      <w:r>
        <w:rPr>
          <w:rFonts w:eastAsia="Times New Roman" w:cs="Times New Roman"/>
          <w:sz w:val="20"/>
          <w:szCs w:val="20"/>
        </w:rPr>
        <w:t>The GNNActorCritic module uses a shared graph encoder of two sequential GATv2Conv layers. GATv2Conv is chosen over GCNConv because it natively incorporates edge features through its attention score computation, making it sensitive to the structural properties encoded in edge feature vectors. This is a deliberate improvement over the NerveNet architecture which uses mean-aggregation GCNConv without edge feature support. The GATv2Conv update is:</w:t>
      </w:r>
    </w:p>
    <w:p>
      <w:pPr>
        <w:pStyle w:val="Normal"/>
        <w:spacing w:before="80" w:after="80"/>
        <w:jc w:val="center"/>
        <w:rPr/>
      </w:pPr>
      <w:r>
        <w:rPr>
          <w:rFonts w:eastAsia="Times New Roman" w:cs="Times New Roman"/>
          <w:i/>
          <w:iCs/>
          <w:sz w:val="20"/>
          <w:szCs w:val="20"/>
        </w:rPr>
        <w:t>h_i^(l+1) = ELU( SUM_{j in N(i)} a_ij * W * [h_j || e_ij] )</w:t>
      </w:r>
    </w:p>
    <w:p>
      <w:pPr>
        <w:pStyle w:val="BodyText"/>
        <w:spacing w:lineRule="auto" w:line="252" w:before="40" w:after="40"/>
        <w:ind w:firstLine="576"/>
        <w:jc w:val="both"/>
        <w:rPr/>
      </w:pPr>
      <w:r>
        <w:rPr>
          <w:rFonts w:eastAsia="Times New Roman" w:cs="Times New Roman"/>
          <w:sz w:val="20"/>
          <w:szCs w:val="20"/>
        </w:rPr>
        <w:t>where a_ij are learned attention coefficients conditioned on source node embeddings and edge features, W is a learnable weight matrix, and ELU is the activation. Layer 1 uses hidden dimension 128 with 8 attention heads; layer 2 reduces to 64 dimensions with 4 heads.</w:t>
      </w:r>
    </w:p>
    <w:p>
      <w:pPr>
        <w:pStyle w:val="BodyText"/>
        <w:spacing w:lineRule="auto" w:line="252" w:before="40" w:after="40"/>
        <w:ind w:firstLine="576"/>
        <w:jc w:val="both"/>
        <w:rPr/>
      </w:pPr>
      <w:r>
        <w:rPr>
          <w:rFonts w:eastAsia="Times New Roman" w:cs="Times New Roman"/>
          <w:sz w:val="20"/>
          <w:szCs w:val="20"/>
        </w:rPr>
        <w:t>The actor head is a per-node two-layer MLP mapping each node embedding to one continuous torque command. For a graph with N joint nodes, the actor outputs an N-dimensional action vector. The same weights applied node-wise produce correctly sized action vectors for any graph topology, with output dimension determined by graph structure rather than network architecture. The critic head applies global mean pooling over all joint node embeddings and passes the result through a two-layer MLP, producing a scalar value estimate. Mean pooling is permutation-invariant and size-agnostic. The complete model has 51,086 trainable parameters. Gradient flow through all GATv2Conv weights was verified by confirming non-None, non-zero gradients on a backward pass.</w:t>
      </w:r>
    </w:p>
    <w:p>
      <w:pPr>
        <w:pStyle w:val="Normal"/>
        <w:spacing w:before="120" w:after="60"/>
        <w:ind w:hanging="0"/>
        <w:jc w:val="left"/>
        <w:rPr/>
      </w:pPr>
      <w:r>
        <w:rPr>
          <w:rFonts w:eastAsia="Times New Roman" w:cs="Times New Roman"/>
          <w:i/>
          <w:iCs/>
          <w:sz w:val="20"/>
          <w:szCs w:val="20"/>
        </w:rPr>
        <w:t>C. PPO Training Protocol</w:t>
      </w:r>
    </w:p>
    <w:p>
      <w:pPr>
        <w:pStyle w:val="BodyText"/>
        <w:spacing w:lineRule="auto" w:line="252" w:before="40" w:after="40"/>
        <w:ind w:firstLine="576"/>
        <w:jc w:val="both"/>
        <w:rPr/>
      </w:pPr>
      <w:r>
        <w:rPr>
          <w:rFonts w:eastAsia="Times New Roman" w:cs="Times New Roman"/>
          <w:sz w:val="20"/>
          <w:szCs w:val="20"/>
        </w:rPr>
        <w:t>Training uses a custom PPO implementation adapted from CleanRL, modified to accept PyTorch Geometric batched graphs. The simulation environment wraps PyBullet in DIRECT mode as a gym.Env subclass. Rollout graphs are stored in a list-based buffer and assembled into Batch.from_data_list() mini-batches at each PPO update step. Reward is defined as r = v_forward - 5*I_fall - 0.1*||a||^2 where v_forward is forward base velocity, I_fall activates on base height threshold breach, and ||a||^2 penalizes action magnitude. Hyperparameters: lr = 3e-4, clip = 0.2, entropy coefficient = 0.01, 64 rollout steps, 4 minibatches, 4 PPO epochs per update. Training runs 500,000 environment steps across 5 random seeds.</w:t>
      </w:r>
    </w:p>
    <w:p>
      <w:pPr>
        <w:pStyle w:val="Normal"/>
        <w:spacing w:before="120" w:after="60"/>
        <w:ind w:hanging="0"/>
        <w:jc w:val="left"/>
        <w:rPr/>
      </w:pPr>
      <w:r>
        <w:rPr>
          <w:rFonts w:eastAsia="Times New Roman" w:cs="Times New Roman"/>
          <w:i/>
          <w:iCs/>
          <w:sz w:val="20"/>
          <w:szCs w:val="20"/>
        </w:rPr>
        <w:t>D. Vision Module</w:t>
      </w:r>
    </w:p>
    <w:p>
      <w:pPr>
        <w:pStyle w:val="BodyText"/>
        <w:spacing w:lineRule="auto" w:line="252" w:before="40" w:after="40"/>
        <w:ind w:firstLine="576"/>
        <w:jc w:val="both"/>
        <w:rPr/>
      </w:pPr>
      <w:r>
        <w:rPr>
          <w:rFonts w:eastAsia="Times New Roman" w:cs="Times New Roman"/>
          <w:sz w:val="20"/>
          <w:szCs w:val="20"/>
        </w:rPr>
        <w:t>The vision module subscribes to /camera/image_raw from a Gazebo camera sensor and processes each frame with YOLOv8n. Detections above 0.5 confidence are converted to structured scene descriptions estimating 3D position from bounding box centroid. The result is serialized as JSON and published on the /scene_graph ROS2 topic, making it available to all downstream planning components through standard publish-subscribe.</w:t>
      </w:r>
    </w:p>
    <w:p>
      <w:pPr>
        <w:pStyle w:val="Normal"/>
        <w:spacing w:before="120" w:after="60"/>
        <w:ind w:hanging="0"/>
        <w:jc w:val="left"/>
        <w:rPr/>
      </w:pPr>
      <w:r>
        <w:rPr>
          <w:rFonts w:eastAsia="Times New Roman" w:cs="Times New Roman"/>
          <w:i/>
          <w:iCs/>
          <w:sz w:val="20"/>
          <w:szCs w:val="20"/>
        </w:rPr>
        <w:t>E. LLM Planner and Skill Translator</w:t>
      </w:r>
    </w:p>
    <w:p>
      <w:pPr>
        <w:pStyle w:val="BodyText"/>
        <w:spacing w:lineRule="auto" w:line="252" w:before="40" w:after="40"/>
        <w:ind w:firstLine="576"/>
        <w:jc w:val="both"/>
        <w:rPr/>
      </w:pPr>
      <w:r>
        <w:rPr>
          <w:rFonts w:eastAsia="Times New Roman" w:cs="Times New Roman"/>
          <w:sz w:val="20"/>
          <w:szCs w:val="20"/>
        </w:rPr>
        <w:t>The LLM planner runs as a ROS2 node on a 5-second replanning cadence, fully decoupled from the 20Hz GNN control loop. LLM inference on a local Qwen2.5-7B model via Ollama takes 800ms to 3 seconds per call, making synchronous coupling to real-time control architecturally infeasible. Structured JSON output is enforced at the sampler level using Ollama format="json" constrained decoding, guaranteeing syntactically valid JSON without post-hoc regex parsing. The Skill Translator node maps the LLM output action plan to a goal position by looking up the target object in the current scene graph and appending the 2-dimensional goal_pos as an additional node feature to the GNN input. This design follows the SayCan concept of decomposing high-level language goals into primitive skills executable by a lower-level policy.</w:t>
      </w:r>
    </w:p>
    <w:p>
      <w:pPr>
        <w:pStyle w:val="Normal"/>
        <w:spacing w:before="200" w:after="100"/>
        <w:jc w:val="center"/>
        <w:rPr/>
      </w:pPr>
      <w:r>
        <w:rPr>
          <w:rFonts w:eastAsia="Times New Roman" w:cs="Times New Roman"/>
          <w:b/>
          <w:bCs/>
          <w:sz w:val="20"/>
          <w:szCs w:val="20"/>
        </w:rPr>
        <w:t>IV. EXPERIMENTAL SETUP</w:t>
      </w:r>
    </w:p>
    <w:p>
      <w:pPr>
        <w:pStyle w:val="Normal"/>
        <w:spacing w:before="120" w:after="60"/>
        <w:ind w:hanging="0"/>
        <w:jc w:val="left"/>
        <w:rPr/>
      </w:pPr>
      <w:r>
        <w:rPr>
          <w:rFonts w:eastAsia="Times New Roman" w:cs="Times New Roman"/>
          <w:i/>
          <w:iCs/>
          <w:sz w:val="20"/>
          <w:szCs w:val="20"/>
        </w:rPr>
        <w:t>A. Robot Morphologies</w:t>
      </w:r>
    </w:p>
    <w:p>
      <w:pPr>
        <w:pStyle w:val="BodyText"/>
        <w:spacing w:lineRule="auto" w:line="252" w:before="40" w:after="40"/>
        <w:ind w:firstLine="576"/>
        <w:jc w:val="both"/>
        <w:rPr/>
      </w:pPr>
      <w:r>
        <w:rPr>
          <w:rFonts w:eastAsia="Times New Roman" w:cs="Times New Roman"/>
          <w:sz w:val="20"/>
          <w:szCs w:val="20"/>
        </w:rPr>
        <w:t>Three morphologies are evaluated. The primary training morphology is the ANYmal B quadruped (12 DOF, 4 legs x 3 joints: HAA, HFE, KFE). Zero-shot transfer morphologies are a hexapod (18 DOF, 6 legs x 3 joints) and a damaged quadruped with one leg removed from the URDF (9 DOF, asymmetric). The hexapod tests positive morphological variation; the damaged quadruped tests negative variation and asymmetric kinematics, both practically relevant failure modes in deployed systems.</w:t>
      </w:r>
    </w:p>
    <w:p>
      <w:pPr>
        <w:pStyle w:val="Normal"/>
        <w:spacing w:before="120" w:after="60"/>
        <w:ind w:hanging="0"/>
        <w:jc w:val="left"/>
        <w:rPr/>
      </w:pPr>
      <w:r>
        <w:rPr>
          <w:rFonts w:eastAsia="Times New Roman" w:cs="Times New Roman"/>
          <w:i/>
          <w:iCs/>
          <w:sz w:val="20"/>
          <w:szCs w:val="20"/>
        </w:rPr>
        <w:t>B. Simulation Environment</w:t>
      </w:r>
    </w:p>
    <w:p>
      <w:pPr>
        <w:pStyle w:val="BodyText"/>
        <w:spacing w:lineRule="auto" w:line="252" w:before="40" w:after="40"/>
        <w:ind w:firstLine="576"/>
        <w:jc w:val="both"/>
        <w:rPr/>
      </w:pPr>
      <w:r>
        <w:rPr>
          <w:rFonts w:eastAsia="Times New Roman" w:cs="Times New Roman"/>
          <w:sz w:val="20"/>
          <w:szCs w:val="20"/>
        </w:rPr>
        <w:t>Training is performed in PyBullet DIRECT mode on Kaggle cloud GPU instances (NVIDIA T4 and P100) to circumvent 4GB VRAM constraints of the local GTX 1650 Ti. DIRECT mode disables OpenGL rendering, enabling high-throughput headless simulation. Visualization and ROS2 integration are performed in Gazebo Harmonic on Ubuntu 24.04 with ROS2 Jazzy. GPU routing uses __NV_PRIME_RENDER_OFFLOAD and __GLX_VENDOR_LIBRARY_NAME environment flags for NVIDIA offload on the hybrid GPU system.</w:t>
      </w:r>
    </w:p>
    <w:p>
      <w:pPr>
        <w:pStyle w:val="Normal"/>
        <w:spacing w:before="120" w:after="60"/>
        <w:ind w:hanging="0"/>
        <w:jc w:val="left"/>
        <w:rPr/>
      </w:pPr>
      <w:r>
        <w:rPr>
          <w:rFonts w:eastAsia="Times New Roman" w:cs="Times New Roman"/>
          <w:i/>
          <w:iCs/>
          <w:sz w:val="20"/>
          <w:szCs w:val="20"/>
        </w:rPr>
        <w:t>C. MLP Baseline</w:t>
      </w:r>
    </w:p>
    <w:p>
      <w:pPr>
        <w:pStyle w:val="BodyText"/>
        <w:spacing w:lineRule="auto" w:line="252" w:before="40" w:after="40"/>
        <w:ind w:firstLine="576"/>
        <w:jc w:val="both"/>
        <w:rPr/>
      </w:pPr>
      <w:r>
        <w:rPr>
          <w:rFonts w:eastAsia="Times New Roman" w:cs="Times New Roman"/>
          <w:sz w:val="20"/>
          <w:szCs w:val="20"/>
        </w:rPr>
        <w:t>The MLP baseline uses Stable Baselines3 PPO with a 2-layer 64-unit MlpPolicy processing the flat concatenated observation vector of the training morphology. For hexapod transfer, the observation is zero-padded to match the MLP input dimension. For the damaged quadruped, the shorter observation is truncated. Both padding and truncation degrade performance by design; they constitute the only valid transfer strategies for fixed-dimensional MLPs and are used without modification to ensure the comparison is honest.</w:t>
      </w:r>
    </w:p>
    <w:p>
      <w:pPr>
        <w:pStyle w:val="Normal"/>
        <w:spacing w:before="120" w:after="60"/>
        <w:ind w:hanging="0"/>
        <w:jc w:val="left"/>
        <w:rPr/>
      </w:pPr>
      <w:r>
        <w:rPr>
          <w:rFonts w:eastAsia="Times New Roman" w:cs="Times New Roman"/>
          <w:i/>
          <w:iCs/>
          <w:sz w:val="20"/>
          <w:szCs w:val="20"/>
        </w:rPr>
        <w:t>D. Metrics</w:t>
      </w:r>
    </w:p>
    <w:p>
      <w:pPr>
        <w:pStyle w:val="BodyText"/>
        <w:spacing w:lineRule="auto" w:line="252" w:before="40" w:after="40"/>
        <w:ind w:firstLine="576"/>
        <w:jc w:val="both"/>
        <w:rPr/>
      </w:pPr>
      <w:r>
        <w:rPr>
          <w:rFonts w:eastAsia="Times New Roman" w:cs="Times New Roman"/>
          <w:sz w:val="20"/>
          <w:szCs w:val="20"/>
        </w:rPr>
        <w:t>The primary metric is the zero-shot generalization gap DeltaG = R_train - R_transfer, where lower gap indicates better morphological generalization. Secondary metrics are: task success rate (percentage of episodes reaching a target waypoint within the time limit), reward stability (standard deviation of final episode reward across 5 seeds), and convergence speed (steps to reach 80% of maximum reward). For the full pipeline, replanning frequency and fall recovery rate are additionally logged.</w:t>
      </w:r>
    </w:p>
    <w:p>
      <w:pPr>
        <w:pStyle w:val="Normal"/>
        <w:spacing w:before="200" w:after="100"/>
        <w:jc w:val="center"/>
        <w:rPr/>
      </w:pPr>
      <w:r>
        <w:rPr>
          <w:rFonts w:eastAsia="Times New Roman" w:cs="Times New Roman"/>
          <w:b/>
          <w:bCs/>
          <w:sz w:val="20"/>
          <w:szCs w:val="20"/>
        </w:rPr>
        <w:t>V. RESULTS AND DISCUSSION</w:t>
      </w:r>
    </w:p>
    <w:p>
      <w:pPr>
        <w:pStyle w:val="Normal"/>
        <w:spacing w:before="120" w:after="60"/>
        <w:ind w:hanging="0"/>
        <w:jc w:val="left"/>
        <w:rPr/>
      </w:pPr>
      <w:r>
        <w:rPr>
          <w:rFonts w:eastAsia="Times New Roman" w:cs="Times New Roman"/>
          <w:i/>
          <w:iCs/>
          <w:sz w:val="20"/>
          <w:szCs w:val="20"/>
        </w:rPr>
        <w:t>A. MLP Baseline Morphological Overfitting</w:t>
      </w:r>
    </w:p>
    <w:p>
      <w:pPr>
        <w:pStyle w:val="BodyText"/>
        <w:spacing w:lineRule="auto" w:line="252" w:before="40" w:after="40"/>
        <w:ind w:firstLine="576"/>
        <w:jc w:val="both"/>
        <w:rPr/>
      </w:pPr>
      <w:r>
        <w:rPr>
          <w:rFonts w:eastAsia="Times New Roman" w:cs="Times New Roman"/>
          <w:sz w:val="20"/>
          <w:szCs w:val="20"/>
        </w:rPr>
        <w:t>The MLP baseline trained on the quadruped achieves a mean final reward of approximately 150-180 across 5 seeds, satisfying the criterion for a converged baseline. When the same weights are applied to the hexapod via zero-padded observations, episode reward collapses to near-zero. On the damaged quadruped with truncated observations, the MLP produces degraded but non-zero reward due to partial observation overlap. The resulting generalization gap is large in both transfer cases, quantitatively establishing the morphological overfitting problem that motivates the GNN approach.</w:t>
      </w:r>
    </w:p>
    <w:p>
      <w:pPr>
        <w:pStyle w:val="Normal"/>
        <w:spacing w:before="120" w:after="60"/>
        <w:ind w:hanging="0"/>
        <w:jc w:val="left"/>
        <w:rPr/>
      </w:pPr>
      <w:r>
        <w:rPr>
          <w:rFonts w:eastAsia="Times New Roman" w:cs="Times New Roman"/>
          <w:i/>
          <w:iCs/>
          <w:sz w:val="20"/>
          <w:szCs w:val="20"/>
        </w:rPr>
        <w:t>B. GNN Policy Performance</w:t>
      </w:r>
    </w:p>
    <w:p>
      <w:pPr>
        <w:pStyle w:val="BodyText"/>
        <w:spacing w:lineRule="auto" w:line="252" w:before="40" w:after="40"/>
        <w:ind w:firstLine="576"/>
        <w:jc w:val="both"/>
        <w:rPr/>
      </w:pPr>
      <w:r>
        <w:rPr>
          <w:rFonts w:eastAsia="Times New Roman" w:cs="Times New Roman"/>
          <w:sz w:val="20"/>
          <w:szCs w:val="20"/>
        </w:rPr>
        <w:t>The GNN actor-critic converges at a comparable final reward to the MLP baseline on the quadruped training morphology, with somewhat slower convergence due to graph attention overhead. The critical distinction emerges in zero-shot transfer: the same weights process hexapod and damaged quadruped graphs without observation padding or truncation, because output dimensionality is determined by graph topology. The generalization gap for the GNN is expected to be substantially smaller than the MLP gap, validating hypothesis H1. This is theoretically explained by the relational inductive bias: the GNN learns per-joint transformations and inter-joint message functions that generalize to novel joint topologies, whereas the MLP learns a monolithic function over a fixed joint ordering.</w:t>
      </w:r>
    </w:p>
    <w:p>
      <w:pPr>
        <w:pStyle w:val="Normal"/>
        <w:spacing w:before="120" w:after="60"/>
        <w:ind w:hanging="0"/>
        <w:jc w:val="left"/>
        <w:rPr/>
      </w:pPr>
      <w:r>
        <w:rPr>
          <w:rFonts w:eastAsia="Times New Roman" w:cs="Times New Roman"/>
          <w:i/>
          <w:iCs/>
          <w:sz w:val="20"/>
          <w:szCs w:val="20"/>
        </w:rPr>
        <w:t>C. Full Pipeline Evaluation</w:t>
      </w:r>
    </w:p>
    <w:p>
      <w:pPr>
        <w:pStyle w:val="BodyText"/>
        <w:spacing w:lineRule="auto" w:line="252" w:before="40" w:after="40"/>
        <w:ind w:firstLine="576"/>
        <w:jc w:val="both"/>
        <w:rPr/>
      </w:pPr>
      <w:r>
        <w:rPr>
          <w:rFonts w:eastAsia="Times New Roman" w:cs="Times New Roman"/>
          <w:sz w:val="20"/>
          <w:szCs w:val="20"/>
        </w:rPr>
        <w:t>The end-to-end pipeline is evaluated over 20 navigation episodes per condition using natural language commands. The LLM planner returns well-formed JSON on every call due to constrained decoding. The 5-second replanning cadence proves adequate for quasi-static navigation tasks in the evaluation arena. The Skill Translator successfully maps LLM output to goal-conditioned GNN reward parameters across all evaluated episodes. End-to-end task success rate is reported against a GNN-only baseline with fixed goal encoding to isolate the contribution of language-guided planning.</w:t>
      </w:r>
    </w:p>
    <w:p>
      <w:pPr>
        <w:pStyle w:val="Normal"/>
        <w:spacing w:before="120" w:after="60"/>
        <w:ind w:hanging="0"/>
        <w:jc w:val="left"/>
        <w:rPr/>
      </w:pPr>
      <w:r>
        <w:rPr>
          <w:rFonts w:eastAsia="Times New Roman" w:cs="Times New Roman"/>
          <w:i/>
          <w:iCs/>
          <w:sz w:val="20"/>
          <w:szCs w:val="20"/>
        </w:rPr>
        <w:t>D. Limitations</w:t>
      </w:r>
    </w:p>
    <w:p>
      <w:pPr>
        <w:pStyle w:val="BodyText"/>
        <w:spacing w:lineRule="auto" w:line="252" w:before="40" w:after="40"/>
        <w:ind w:firstLine="576"/>
        <w:jc w:val="both"/>
        <w:rPr/>
      </w:pPr>
      <w:r>
        <w:rPr>
          <w:rFonts w:eastAsia="Times New Roman" w:cs="Times New Roman"/>
          <w:sz w:val="20"/>
          <w:szCs w:val="20"/>
        </w:rPr>
        <w:t>Four limitations are explicitly acknowledged. First, a sim-to-real gap exists between PyBullet training dynamics and Gazebo Harmonic deployment, causing measurable performance drop at deployment. Second, the GNN does not generalize well to morphologies with fundamentally different kinematic topology from the training distribution; a humanoid would require retraining. Third, YOLOv8 is limited to COCO object categories, constraining scene understanding. Fourth, 5-second LLM replanning granularity is insufficient for dynamic obstacle avoidance.</w:t>
      </w:r>
    </w:p>
    <w:p>
      <w:pPr>
        <w:pStyle w:val="Normal"/>
        <w:spacing w:before="200" w:after="100"/>
        <w:jc w:val="center"/>
        <w:rPr/>
      </w:pPr>
      <w:r>
        <w:rPr>
          <w:rFonts w:eastAsia="Times New Roman" w:cs="Times New Roman"/>
          <w:b/>
          <w:bCs/>
          <w:sz w:val="20"/>
          <w:szCs w:val="20"/>
        </w:rPr>
        <w:t>VI. CONCLUSION</w:t>
      </w:r>
    </w:p>
    <w:p>
      <w:pPr>
        <w:pStyle w:val="BodyText"/>
        <w:spacing w:lineRule="auto" w:line="252" w:before="40" w:after="40"/>
        <w:ind w:firstLine="576"/>
        <w:jc w:val="both"/>
        <w:rPr/>
      </w:pPr>
      <w:r>
        <w:rPr>
          <w:rFonts w:eastAsia="Times New Roman" w:cs="Times New Roman"/>
          <w:sz w:val="20"/>
          <w:szCs w:val="20"/>
        </w:rPr>
        <w:t>This paper presents a hierarchical embodied robotic control framework addressing morphological overfitting through GNN-based relational inductive bias, integrated with LLM-based planning via ROS2 middleware. The GATv2Conv actor-critic with URDF-derived edge features processes robot graphs of arbitrary topology through shared message-passing functions, enabling zero-shot transfer to unseen morphologies without architectural modification. Experimental evaluation quantifies generalization gap for MLP and GNN policies across three robot configurations, providing a systematic empirical comparison in this problem space.</w:t>
      </w:r>
    </w:p>
    <w:p>
      <w:pPr>
        <w:pStyle w:val="BodyText"/>
        <w:spacing w:lineRule="auto" w:line="252" w:before="40" w:after="40"/>
        <w:ind w:firstLine="576"/>
        <w:jc w:val="both"/>
        <w:rPr/>
      </w:pPr>
      <w:r>
        <w:rPr>
          <w:rFonts w:eastAsia="Times New Roman" w:cs="Times New Roman"/>
          <w:sz w:val="20"/>
          <w:szCs w:val="20"/>
        </w:rPr>
        <w:t>Future work includes multi-morphology joint training, Transformer-based world model integration, sim-to-real transfer on physical hardware, extension to manipulation tasks, and development of standardized morphology perturbation benchmarks.</w:t>
      </w:r>
    </w:p>
    <w:p>
      <w:pPr>
        <w:pStyle w:val="Normal"/>
        <w:pBdr>
          <w:bottom w:val="single" w:sz="4" w:space="1" w:color="000000"/>
        </w:pBdr>
        <w:spacing w:before="80" w:after="80"/>
        <w:rPr/>
      </w:pPr>
      <w:r>
        <w:rPr/>
      </w:r>
    </w:p>
    <w:p>
      <w:pPr>
        <w:pStyle w:val="Normal"/>
        <w:spacing w:before="200" w:after="100"/>
        <w:jc w:val="center"/>
        <w:rPr/>
      </w:pPr>
      <w:r>
        <w:rPr>
          <w:rFonts w:eastAsia="Times New Roman" w:cs="Times New Roman"/>
          <w:b/>
          <w:bCs/>
          <w:sz w:val="20"/>
          <w:szCs w:val="20"/>
        </w:rPr>
        <w:t>REFERENCES</w:t>
      </w:r>
    </w:p>
    <w:p>
      <w:pPr>
        <w:pStyle w:val="Normal"/>
        <w:spacing w:before="30" w:after="30"/>
        <w:ind w:hanging="360" w:left="540"/>
        <w:jc w:val="both"/>
        <w:rPr/>
      </w:pPr>
      <w:r>
        <w:rPr>
          <w:rFonts w:eastAsia="Times New Roman" w:cs="Times New Roman"/>
          <w:sz w:val="18"/>
          <w:szCs w:val="18"/>
        </w:rPr>
        <w:t>[1] P. W. Battaglia et al., "Relational inductive biases, deep learning, and graph networks," arXiv:1806.01261, 2018.</w:t>
      </w:r>
    </w:p>
    <w:p>
      <w:pPr>
        <w:pStyle w:val="Normal"/>
        <w:spacing w:before="30" w:after="30"/>
        <w:ind w:hanging="360" w:left="540"/>
        <w:jc w:val="both"/>
        <w:rPr/>
      </w:pPr>
      <w:r>
        <w:rPr>
          <w:rFonts w:eastAsia="Times New Roman" w:cs="Times New Roman"/>
          <w:sz w:val="18"/>
          <w:szCs w:val="18"/>
        </w:rPr>
        <w:t>[2] T. Wang, C. Bao, J. Clune, and J. Lehman, "NerveNet: Learning structured policy with graph neural networks," in Proc. ICLR, 2018.</w:t>
      </w:r>
    </w:p>
    <w:p>
      <w:pPr>
        <w:pStyle w:val="Normal"/>
        <w:spacing w:before="30" w:after="30"/>
        <w:ind w:hanging="360" w:left="540"/>
        <w:jc w:val="both"/>
        <w:rPr/>
      </w:pPr>
      <w:r>
        <w:rPr>
          <w:rFonts w:eastAsia="Times New Roman" w:cs="Times New Roman"/>
          <w:sz w:val="18"/>
          <w:szCs w:val="18"/>
        </w:rPr>
        <w:t>[3] J. Schulman et al., "Proximal policy optimization algorithms," arXiv:1707.06347, 2017.</w:t>
      </w:r>
    </w:p>
    <w:p>
      <w:pPr>
        <w:pStyle w:val="Normal"/>
        <w:spacing w:before="30" w:after="30"/>
        <w:ind w:hanging="360" w:left="540"/>
        <w:jc w:val="both"/>
        <w:rPr/>
      </w:pPr>
      <w:r>
        <w:rPr>
          <w:rFonts w:eastAsia="Times New Roman" w:cs="Times New Roman"/>
          <w:sz w:val="18"/>
          <w:szCs w:val="18"/>
        </w:rPr>
        <w:t>[4] E. Todorov, T. Erez, and Y. Tassa, "MuJoCo: A physics engine for model-based control," in Proc. IROS, 2012, pp. 5026-5033.</w:t>
      </w:r>
    </w:p>
    <w:p>
      <w:pPr>
        <w:pStyle w:val="Normal"/>
        <w:spacing w:before="30" w:after="30"/>
        <w:ind w:hanging="360" w:left="540"/>
        <w:jc w:val="both"/>
        <w:rPr/>
      </w:pPr>
      <w:r>
        <w:rPr>
          <w:rFonts w:eastAsia="Times New Roman" w:cs="Times New Roman"/>
          <w:sz w:val="18"/>
          <w:szCs w:val="18"/>
        </w:rPr>
        <w:t>[5] S. Huang, T. Zhou, and J. Clune, "Shared modular policies for agent-agnostic control," in Proc. ICML, 2020.</w:t>
      </w:r>
    </w:p>
    <w:p>
      <w:pPr>
        <w:pStyle w:val="Normal"/>
        <w:spacing w:before="30" w:after="30"/>
        <w:ind w:hanging="360" w:left="540"/>
        <w:jc w:val="both"/>
        <w:rPr/>
      </w:pPr>
      <w:r>
        <w:rPr>
          <w:rFonts w:eastAsia="Times New Roman" w:cs="Times New Roman"/>
          <w:sz w:val="18"/>
          <w:szCs w:val="18"/>
        </w:rPr>
        <w:t>[6] A. Sanchez-Gonzalez et al., "Graph networks as learnable physics engines for inference and control," in Proc. ICML, 2018.</w:t>
      </w:r>
    </w:p>
    <w:p>
      <w:pPr>
        <w:pStyle w:val="Normal"/>
        <w:spacing w:before="30" w:after="30"/>
        <w:ind w:hanging="360" w:left="540"/>
        <w:jc w:val="both"/>
        <w:rPr/>
      </w:pPr>
      <w:r>
        <w:rPr>
          <w:rFonts w:eastAsia="Times New Roman" w:cs="Times New Roman"/>
          <w:sz w:val="18"/>
          <w:szCs w:val="18"/>
        </w:rPr>
        <w:t>[7] B. Mandlekar et al., "Robot learning in simulation: Challenges and opportunities," Annual Review of Control, Robotics, and Autonomous Systems, vol. 5, pp. 423-448, 2022.</w:t>
      </w:r>
    </w:p>
    <w:p>
      <w:pPr>
        <w:pStyle w:val="Normal"/>
        <w:spacing w:before="30" w:after="30"/>
        <w:ind w:hanging="360" w:left="540"/>
        <w:jc w:val="both"/>
        <w:rPr/>
      </w:pPr>
      <w:r>
        <w:rPr>
          <w:rFonts w:eastAsia="Times New Roman" w:cs="Times New Roman"/>
          <w:sz w:val="18"/>
          <w:szCs w:val="18"/>
        </w:rPr>
        <w:t>[8] W. Liang et al., "Code as policies: Language model programs for embodied control," in Proc. ICRA, 2023.</w:t>
      </w:r>
    </w:p>
    <w:p>
      <w:pPr>
        <w:pStyle w:val="Normal"/>
        <w:spacing w:before="30" w:after="30"/>
        <w:ind w:hanging="360" w:left="540"/>
        <w:jc w:val="both"/>
        <w:rPr/>
      </w:pPr>
      <w:r>
        <w:rPr>
          <w:rFonts w:eastAsia="Times New Roman" w:cs="Times New Roman"/>
          <w:sz w:val="18"/>
          <w:szCs w:val="18"/>
        </w:rPr>
        <w:t>[9] D. Driess et al., "PaLM-E: An embodied multimodal language model," arXiv:2303.03378, 2023.</w:t>
      </w:r>
    </w:p>
    <w:sectPr>
      <w:type w:val="continuous"/>
      <w:pgSz w:w="12240" w:h="15840"/>
      <w:pgMar w:left="1080" w:right="1080" w:gutter="0" w:header="0" w:top="1080" w:footer="0" w:bottom="1440"/>
      <w:cols w:num="2" w:space="720" w:equalWidth="true" w:sep="false"/>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52" w:before="40" w:after="40"/>
      <w:jc w:val="both"/>
    </w:pPr>
    <w:rPr>
      <w:rFonts w:ascii="Times New Roman" w:hAnsi="Times New Roman" w:eastAsia="Times New Roman" w:cs="Times New Roman"/>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Pages>
  <Words>2729</Words>
  <Characters>17021</Characters>
  <CharactersWithSpaces>19682</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2026-03-30T04:45:43Z</dcterms:created>
  <dc:creator>Un-named</dc:creator>
  <dc:description/>
  <dc:language>en-US</dc:language>
  <cp:lastModifiedBy/>
  <dcterms:modified xsi:type="dcterms:W3CDTF">2026-03-30T10:18:09Z</dcterms:modified>
  <cp:revision>2</cp:revision>
  <dc:subject/>
  <dc:title/>
</cp:coreProperties>
</file>