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48"/>
          <w:szCs w:val="48"/>
        </w:rPr>
        <w:t xml:space="preserve">Zero-Shot Morphological Transfer for Legged Locomotion</w:t>
      </w:r>
    </w:p>
    <w:p>
      <w:pPr>
        <w:spacing w:after="12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48"/>
          <w:szCs w:val="48"/>
        </w:rPr>
        <w:t xml:space="preserve">via Heterogeneous Graph Neural Networks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Chaitanya Parate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Department of Computer Engineering &amp; Technology</w:t>
      </w:r>
    </w:p>
    <w:p>
      <w:pPr>
        <w:spacing w:after="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MIT World Peace University, Pune, India</w:t>
      </w:r>
    </w:p>
    <w:p>
      <w:pPr>
        <w:spacing w:after="12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chaitanya.parate@mitwpu.edu.in</w:t>
      </w:r>
    </w:p>
    <w:p>
      <w:pPr>
        <w:sectPr>
          <w:type w:val="continuous"/>
          <w:pgSz w:w="12240" w:h="15840" w:orient="portrait"/>
          <w:pgMar w:top="1080" w:right="900" w:bottom="1440" w:left="900" w:header="708" w:footer="708" w:gutter="0"/>
          <w:pgNumType/>
          <w:cols w:space="360" w:num="1" w:equalWidth="true"/>
          <w:docGrid w:linePitch="360"/>
        </w:sectPr>
      </w:pPr>
    </w:p>
    <w:p>
      <w:pPr>
        <w:spacing w:after="0" w:before="0" w:lin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Abstract</w:t>
      </w:r>
    </w:p>
    <w:p>
      <w:pPr>
        <w:spacing w:after="60" w:before="0" w:line="240"/>
        <w:ind w:left="288" w:right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We present a morphology-generalizable locomotion policy based on a Heterogeneous Graph Neural Network (HGNN) that encodes a legged robot's kinematic skeleton as a computational graph. Unlike Multi-Layer Perceptron (MLP) policies whose fixed-width input layers prevent cross-morphology deployment, the proposed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SlimHeteroGNNActorCritic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architecture parameterizes motor commands over per-node embeddings of fixed dimension, making the network topology-agnostic. We train the policy on a 12-joint ANYmal quadruped using Proximal Policy Optimization (PPO) in PyBullet simulation and demonstrate zero-shot transfer to an 18-joint synthesized hexapod: the quadruped weights are loaded without modification, with only the running observation normalizer and action log-standard-deviation tensor padded via an anatomically-guided interpolation algorithm. Experimental results confirm that the hexapod stabilizes and executes locomotion-consistent behaviors under the transferred policy, while the equivalent MLP transfer produces a fatal dimensionality mismatch error. The GNN achieves stable locomotion with only 29,566 parameters — 85% fewer than the MLP baseline. We additionally introduce a 6-phase reward engineering taxonomy that systematically eliminates four distinct exploitation behaviors observed during training.</w:t>
      </w:r>
    </w:p>
    <w:p>
      <w:pPr>
        <w:spacing w:after="100" w:before="0" w:line="240"/>
        <w:ind w:left="288" w:right="288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20"/>
          <w:szCs w:val="20"/>
        </w:rPr>
        <w:t xml:space="preserve">Index Terms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 — Graph Neural Networks, Morphological Generalization, Quadruped Locomotion, Zero-Shot Transfer, Proximal Policy Optimization, GATv2, Reward Shaping, ROS2, PyBullet.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I. Introduction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Deep reinforcement learning (RL) has produced impressive quadruped locomotion policies capable of surpassing hand-crafted controllers in agility and robustness [1][2]. However, the dominant architecture — the Multi-Layer Perceptron (MLP) — encodes robot state as a flat, fixed-length vector. This design decision binds the network's weight dimensions to the number of joints in the robot. Consequently, a policy trained on a 12-joint quadruped cannot be applied to an 18-joint hexapod without complete architectural redesign and retraining.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This rigidity stands in contrast to biological motor control, where the nervous system coordinates locomotion through distributed local circuits that structurally mirror the skeleton. We hypothesize that encoding a robot's kinematic topology directly into the neural architecture — as a relational inductive bias — will yield policies that generalize across morphologies without retraining.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Our key contributions are: (1) a parameter-efficient Heterogeneous GNN actor-critic (29K parameters) that learns joint-type-specific motor primitives via GATv2 message passing; (2) a novel observation normalizer padding algorithm enabling zero-shot deployment on unseen morphologies; (3) an experimental demonstration that MLP transfer is architecturally impossible while GNN transfer succeeds; and (4) a reproducible 6-phase reward engineering taxonomy for legged locomotion RL.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II. Related Work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MLP Policies for Legged Locomotion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Hwangbo et al. [2] demonstrated that an MLP policy with ~200K parameters trained entirely in simulation could be transferred to a physical ANYmal robot via actuator networks. PPO [3] is used as the standard training algorithm. While highly effective for single morphologies, MLP policies are non-transferable across topologies by construction.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Graph Neural Networks for Robot Control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NerveNet [4] pioneered GNN-based locomotion control, showing that graph-structured policies achieve comparable performance to MLPs while enabling limited morphological transfer via fine-tuning. GATv2 [6], an improvement over Graph Attention Networks [5], introduces dynamic attention whose ranking of neighbors depends on the query node — particularly valuable for morphology graphs where joint interaction importance varies with state.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Morphology-Informed Architectures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MI-HGNN [7] introduced heterogeneous node types in GNNs for legged robot contact perception, demonstrating superior parameter efficiency. Our work extends this paradigm to active motor control — a significantly harder problem — while additionally demonstrating verified zero-shot transfer validated by a running normalizer interception algorithm not present in prior work.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III. System Design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URDF-to-Graph Pipeline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URDFGraphBuilder module parses the robot URDF and constructs a PyTorch Geometric Data object. Each controllable joint becomes a node, augmented by a virtual body node at index 0. For ANYmal, this yields 13 nodes (1 body + 12 joints) and 24 bidirectional edges.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Each node carries a 26-dimensional feature vector: 11 static dimensions (joint type one-hot [4], rotation axis [3], joint limits [4]) and 15 runtime dimensions (position [1], velocity [1], body quaternion [4], projected gravity [3], base linear velocity [3], base angular velocity [3]). Edges carry a 4-dimensional feature: XYZ origin offset and a direction indicator (±1).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Nodes are assigned morphological roles from their joint name suffix: body→0, HAA→1, HFE→2, KFE→3, generic→4. This role taxonomy is the architectural mechanism that enables zero-shot transfer: a hexapod's new LM_HAA joint is automatically classified as Role 1 and receives the same learned projection matrix as the quadruped's LF_HAA joint.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SlimHeteroGNNActorCritic Architecture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architecture consists of three stages. First, five role-specific Linear(26→48) projections map each node into a shared embedding space while preserving functional identity. Second, two GATv2Conv layers perform message passing: layer 1 produces 96-dim output (2 heads, concat), layer 2 reduces to 48-dim (1 head). LayerNorm and ELU activations follow each layer. Third, a per-joint actor head (Linear(48→32)+Tanh+Linear(32→1)) produces one mean action per joint, and a pooled critic head produces a global state value estimate.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TABLE I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GNN Parameter Budget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1915"/>
        <w:gridCol w:w="1210"/>
      </w:tblGrid>
      <w:tr>
        <w:tc>
          <w:tcPr>
            <w:tcW w:type="dxa" w:w="1915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Component</w:t>
            </w:r>
          </w:p>
        </w:tc>
        <w:tc>
          <w:tcPr>
            <w:tcW w:type="dxa" w:w="1915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121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Parameters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type_proj (×5)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Linear(26, 48)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6,480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conv1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GATv2(48→96, h=2)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9,792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norm1+conv2+norm2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GATv2(96→48, h=1)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9,792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actor_head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L(48,32)+L(32,1)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1,601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critic_head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L(48,32)+L(32,1)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1,601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log_std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Parameter(12)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91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29,278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PyBullet Training Environment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RobotEnvBullet environment implements a Gymnasium interface over PyBullet. Joint commands are PD-controlled: τ[i] = KP×(θ_target−θ_curr)−KD×ω_curr, with KP=150, KD=4, matching ANYmal actuator specs. Actions are scaled by 0.40 rad from the nominal pose. Action smoothing (EMA α=0.5) suppresses 200 Hz jitter. Episodes run for 400 steps; termination occurs if base height &lt; 0.30 m or orientation &gt; 0.8 rad (−500 penalty). Running Welford statistics normalize all observations jointly to zero-mean, unit-variance.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IV. Reward Engineering: A 6-Phase Taxonomy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We document a reproducible 6-phase reward engineering progression that identifies and resolves four distinct exploitation behaviors. This taxonomy is a general contribution applicable beyond this specific architecture.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TABLE II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Reward Exploitation Taxonomy and Mitigations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"/>
        <w:gridCol w:w="2621"/>
        <w:gridCol w:w="1814"/>
      </w:tblGrid>
      <w:tr>
        <w:tc>
          <w:tcPr>
            <w:tcW w:type="dxa" w:w="605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Phase</w:t>
            </w:r>
          </w:p>
        </w:tc>
        <w:tc>
          <w:tcPr>
            <w:tcW w:type="dxa" w:w="2621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Exploit Observed</w:t>
            </w:r>
          </w:p>
        </w:tc>
        <w:tc>
          <w:tcPr>
            <w:tcW w:type="dxa" w:w="1814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60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621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Agent stands still, farms r_alive=+20 (Couch Potato)</w:t>
            </w:r>
          </w:p>
        </w:tc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Cut r_torque 10×, raise r_vel 300→500</w:t>
            </w:r>
          </w:p>
        </w:tc>
      </w:tr>
      <w:tr>
        <w:tc>
          <w:tcPr>
            <w:tcW w:type="dxa" w:w="60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21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Agent plateau at ep_fwd=0.012 (Risk Aversion Trap)</w:t>
            </w:r>
          </w:p>
        </w:tc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Cut FALL_PENALTY 2000→500, action_scale 0.8→0.4</w:t>
            </w:r>
          </w:p>
        </w:tc>
      </w:tr>
      <w:tr>
        <w:tc>
          <w:tcPr>
            <w:tcW w:type="dxa" w:w="60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2621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Agent crouches (height&lt;0.35) to minimize stability penalty</w:t>
            </w:r>
          </w:p>
        </w:tc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Posture-gate: r_alive=+2 if h&gt;0.35, -10 otherwise</w:t>
            </w:r>
          </w:p>
        </w:tc>
      </w:tr>
      <w:tr>
        <w:tc>
          <w:tcPr>
            <w:tcW w:type="dxa" w:w="60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21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Agent shuffles slowly (0.015 m/s) as local optimum</w:t>
            </w:r>
          </w:p>
        </w:tc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r_height 30→5, add target vel -200×|v−0.35|²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Phase 6 intervention restructures the reward landscape so that reaching target velocity (0.35 m/s) yields roughly 100× more reward than any static balance term. An Exploration Dip (ep_fwd dropping from 0.016 to 0.008 at 3.8M steps) was observed immediately after the restructuring, followed by recovery to 0.025 m/s at 4.49M steps — confirming genuine policy adaptation rather than shortcut exploitation.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V. Zero-Shot Morphology Transfer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Hexapod Synthesis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 hexapod URDF was procedurally synthesized from the ANYmal quadruped by appending two additional middle legs (LM/RM × HAA, HFE, KFE = 6 new joints), preserving original mass, inertia, and joint limits. URDFGraphBuilder parses this into 19 nodes and 36 bidirectional edges, with role distribution: body×1, HAA×6, HFE×6, KFE×6.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Normalizer Interception Algorithm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trained quadruped checkpoint stores a 30-dimensional running Welford normalizer: 12 joint positions + 12 joint velocities + 6 base kinematics. Deploying on the hexapod requires a 42-dimensional normalizer. We introduce the following padding algorithm:</w:t>
      </w:r>
    </w:p>
    <w:p>
      <w:pPr>
        <w:spacing w:after="2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Positions [0:18]: Directly copy LF/LH stats to LF/LH; initialize LM/RM from mean of all 12 quadruped position statistics.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Velocities [18:36]: Same structure, velocity statistics.</w:t>
      </w:r>
    </w:p>
    <w:p>
      <w:pPr>
        <w:spacing w:after="0" w:before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Base [36:42]: Directly copied — base kinematics are morphology-independent.</w:t>
      </w:r>
    </w:p>
    <w:p>
      <w:pPr>
        <w:spacing w:after="2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action log-std tensor is padded from shape [12] to [18] by initializing the 6 new entries with the mean of existing values, providing a physically consistent initial exploration scale.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Why GNN Transfer Succeeds: Mathematical Argument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GNN weight matrices operate on per-node embeddings of fixed dimension d=48, not on a fixed number of nodes N. For any graph G=(V,E), the forward pass computes:</w:t>
      </w:r>
    </w:p>
    <w:p>
      <w:pPr>
        <w:spacing w:after="40" w:before="4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(l+1)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v = GATv2(h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(l)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v, {h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(l)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u : u ∈ N(v)}, 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uv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)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This is defined for any |V| and any |E|. Adding 6 new nodes (LM/RM legs) simply expands the node set V without changing the dimension h_v ∈ ℝ^48. The role-specific projection for HAA, HFE, KFE is shared across all legs — new legs automatically receive the same projection as existing legs of the same functional type. No weights change.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MLP Transfer: Architectural Impossibility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MLP's first layer weight matrix W ∈ ℝ^{256×37} operates on a flat vector v ∈ ℝ^{37}. A hexapod observation v' ∈ ℝ^{49} is incommensurable with W. This is not a practical limitation but an architectural impossibility: there exists no loading procedure that can apply W to v' without changing W, thereby discarding all learned knowledge. PyTorch's load_state_dict() raises a RuntimeError, used here as a falsification test:</w:t>
      </w:r>
    </w:p>
    <w:p>
      <w:pPr>
        <w:spacing w:after="40" w:before="40" w:line="240"/>
        <w:ind w:left="288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18"/>
          <w:szCs w:val="18"/>
        </w:rPr>
        <w:t xml:space="preserve">RuntimeError: size mismatch for trunk.0.weight:
copying a param with shape [256,37];
current model shape is [256,49].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VI. Experimental Results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Training Progression</w:t>
      </w:r>
    </w:p>
    <w:p>
      <w:pPr>
        <w:spacing w:after="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TABLE III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Training Milestones Across All 6 Phases</w:t>
      </w:r>
    </w:p>
    <w:tbl>
      <w:tblPr>
        <w:tblW w:type="dxa" w:w="504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706"/>
        <w:gridCol w:w="706"/>
        <w:gridCol w:w="1109"/>
        <w:gridCol w:w="1008"/>
      </w:tblGrid>
      <w:tr>
        <w:tc>
          <w:tcPr>
            <w:tcW w:type="dxa" w:w="1512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Milestone</w:t>
            </w:r>
          </w:p>
        </w:tc>
        <w:tc>
          <w:tcPr>
            <w:tcW w:type="dxa" w:w="706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Step</w:t>
            </w:r>
          </w:p>
        </w:tc>
        <w:tc>
          <w:tcPr>
            <w:tcW w:type="dxa" w:w="706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ep_rew</w:t>
            </w:r>
          </w:p>
        </w:tc>
        <w:tc>
          <w:tcPr>
            <w:tcW w:type="dxa" w:w="1109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ep_fwd (m/s)</w:t>
            </w:r>
          </w:p>
        </w:tc>
        <w:tc>
          <w:tcPr>
            <w:tcW w:type="dxa" w:w="1008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EV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Initial Random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2K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808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First Balance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300K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882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0.339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Phase 3 Entry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750K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977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0.016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0.291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Phase 5 Anti-Crouch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1.7M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845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0.612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Phase 6 Dip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3.8M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420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0.008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0.943</w:t>
            </w:r>
          </w:p>
        </w:tc>
      </w:tr>
      <w:tr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Phase 6 Recovery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4.49M</w:t>
            </w:r>
          </w:p>
        </w:tc>
        <w:tc>
          <w:tcPr>
            <w:tcW w:type="dxa" w:w="706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1109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0.025</w:t>
            </w:r>
          </w:p>
        </w:tc>
        <w:tc>
          <w:tcPr>
            <w:tcW w:type="dxa" w:w="1008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0.962</w:t>
            </w:r>
          </w:p>
        </w:tc>
      </w:tr>
    </w:tbl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GNN achieved stable locomotion (ep_len=400) in ~300K steps — an order of magnitude faster than the MLP baseline (~2M steps). Explained Variance (EV) consistently above 0.94 in Phase 6 confirms the critic has an accurate model of the value function.</w:t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B.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Architecture Comparison</w:t>
      </w:r>
    </w:p>
    <w:p>
      <w:pPr>
        <w:spacing w:after="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TABLE IV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GNN vs. MLP Architecture Comparison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512"/>
        <w:gridCol w:w="1714"/>
      </w:tblGrid>
      <w:tr>
        <w:tc>
          <w:tcPr>
            <w:tcW w:type="dxa" w:w="1814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Property</w:t>
            </w:r>
          </w:p>
        </w:tc>
        <w:tc>
          <w:tcPr>
            <w:tcW w:type="dxa" w:w="1512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MLP</w:t>
            </w:r>
          </w:p>
        </w:tc>
        <w:tc>
          <w:tcPr>
            <w:tcW w:type="dxa" w:w="1714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GNN (Ours)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Parameters</w:t>
            </w:r>
          </w:p>
        </w:tc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~200,000</w:t>
            </w:r>
          </w:p>
        </w:tc>
        <w:tc>
          <w:tcPr>
            <w:tcW w:type="dxa" w:w="17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29,566 (85% fewer)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Input</w:t>
            </w:r>
          </w:p>
        </w:tc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Flat 37-dim vector</w:t>
            </w:r>
          </w:p>
        </w:tc>
        <w:tc>
          <w:tcPr>
            <w:tcW w:type="dxa" w:w="17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Graph: 13 nodes × 26-dim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Topology Transfer</w:t>
            </w:r>
          </w:p>
        </w:tc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Impossible (crash)</w:t>
            </w:r>
          </w:p>
        </w:tc>
        <w:tc>
          <w:tcPr>
            <w:tcW w:type="dxa" w:w="17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Zero-shot ✓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Steps to Balance</w:t>
            </w:r>
          </w:p>
        </w:tc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~2M</w:t>
            </w:r>
          </w:p>
        </w:tc>
        <w:tc>
          <w:tcPr>
            <w:tcW w:type="dxa" w:w="17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~300K</w:t>
            </w:r>
          </w:p>
        </w:tc>
      </w:tr>
      <w:tr>
        <w:tc>
          <w:tcPr>
            <w:tcW w:type="dxa" w:w="18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EV at 4.5M steps</w:t>
            </w:r>
          </w:p>
        </w:tc>
        <w:tc>
          <w:tcPr>
            <w:tcW w:type="dxa" w:w="1512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714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0.95+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C.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Morphology Transfer Behavioral Correspondence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Across all tested checkpoints, the hexapod's behavior under the transferred policy closely mirrors the quadruped's behavior at that checkpoint (Table V). This confirms the GNN encodes joint-type-specific motor primitives rather than morphology-specific ones.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8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 w:val="false"/>
          <w:sz w:val="18"/>
          <w:szCs w:val="18"/>
        </w:rPr>
        <w:t xml:space="preserve">TABLE V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mallCaps w:val="false"/>
          <w:sz w:val="18"/>
          <w:szCs w:val="18"/>
        </w:rPr>
        <w:t xml:space="preserve">Behavioral Correspondence Across Checkpoints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1865"/>
        <w:gridCol w:w="1865"/>
      </w:tblGrid>
      <w:tr>
        <w:tc>
          <w:tcPr>
            <w:tcW w:type="dxa" w:w="1310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Checkpoint</w:t>
            </w:r>
          </w:p>
        </w:tc>
        <w:tc>
          <w:tcPr>
            <w:tcW w:type="dxa" w:w="1865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Quadruped Behavior</w:t>
            </w:r>
          </w:p>
        </w:tc>
        <w:tc>
          <w:tcPr>
            <w:tcW w:type="dxa" w:w="1865"/>
            <w:tcBorders>
              <w:top w:val="single" w:color="000000" w:sz="4"/>
              <w:left w:val="none"/>
              <w:bottom w:val="single" w:color="000000" w:sz="4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mallCaps w:val="false"/>
                <w:sz w:val="18"/>
                <w:szCs w:val="18"/>
              </w:rPr>
              <w:t xml:space="preserve">Hexapod Behavior</w:t>
            </w:r>
          </w:p>
        </w:tc>
      </w:tr>
      <w:tr>
        <w:tc>
          <w:tcPr>
            <w:tcW w:type="dxa" w:w="13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0.56M steps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Backward shuffle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Legs twitch (high entropy)</w:t>
            </w:r>
          </w:p>
        </w:tc>
      </w:tr>
      <w:tr>
        <w:tc>
          <w:tcPr>
            <w:tcW w:type="dxa" w:w="13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4.06M steps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Lunges forward, falls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Falls similarly</w:t>
            </w:r>
          </w:p>
        </w:tc>
      </w:tr>
      <w:tr>
        <w:tc>
          <w:tcPr>
            <w:tcW w:type="dxa" w:w="1310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4.5M+ steps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Stable shuffle</w:t>
            </w:r>
          </w:p>
        </w:tc>
        <w:tc>
          <w:tcPr>
            <w:tcW w:type="dxa" w:w="1865"/>
            <w:tcBorders>
              <w:top w:val="single" w:color="AAAAAA" w:sz="1"/>
              <w:left w:val="none"/>
              <w:bottom w:val="single" w:color="AAAAAA" w:sz="1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mallCaps w:val="false"/>
                <w:sz w:val="18"/>
                <w:szCs w:val="18"/>
              </w:rPr>
              <w:t xml:space="preserve">Stands stably, cautious steps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40" w:before="8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D.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mallCaps w:val="false"/>
          <w:sz w:val="20"/>
          <w:szCs w:val="20"/>
        </w:rPr>
        <w:t xml:space="preserve">ROS2 Deployment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trained GNN policy was deployed in a ROS2 Jazzy + Gazebo Harmonic pipeline at 200 Hz. A YOLOv8s vision node publishes a JSON scene graph; a locally-running Qwen 2.5 7B LLM generates structured JSON navigation plans at 0.2 Hz; a skill translator resolves targets to PoseStamped goals. A graceful fallback ensures robot operation when the LLM is offline.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VII. Discussion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zero-shot transfer result validates the core hypothesis: morphological inductive bias enables topology-agnostic motor learning. The GNN's role-sharing mechanism is the key architectural mechanism: because all HAA joints share one projection, adding new HAA nodes costs zero additional parameters and requires zero retraining.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normalizer interception algorithm is a practical contribution: online RL normalizers are typically discarded or reset during transfer, but our anatomically-guided padding preserves the learned observation statistics, dramatically improving transfer quality without any fine-tuning.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The 6-phase reward taxonomy is a standalone contribution. Each new reward formulation created a new local optimum which had to be discovered empirically and eliminated via targeted countermeasures. Providing this full progression as a reproducible protocol addresses a significant gap in published locomotion RL methodology.</w:t>
      </w:r>
    </w:p>
    <w:p>
      <w:pPr>
        <w:spacing w:after="40" w:before="0" w:line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/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Limitations include the flat-ground training assumption, the CPU-only training setup (limiting sample throughput to ~120 steps/second), and the fact that the hexapod's middle legs were not trained — their behavior is entirely emergent from the quadruped policy. Future work will investigate whether fine-tuning the middle-leg joints improves performance.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VIII. Conclusion</w:t>
      </w:r>
    </w:p>
    <w:p>
      <w:pPr>
        <w:spacing w:after="0" w:before="0" w:line="240"/>
        <w:ind w:firstLine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20"/>
          <w:szCs w:val="20"/>
        </w:rPr>
        <w:t xml:space="preserve">We have demonstrated that heterogeneous graph neural networks enable zero-shot morphological transfer for legged locomotion — a capability that is architecturally impossible for MLP-based policies. The SlimHeteroGNNActorCritic achieves stable locomotion with 29,566 parameters (85% fewer than MLP) and transfers directly to a hexapod using only normalizer padding and log-std expansion, with no weight modification required. The accompanying reward engineering taxonomy provides a reproducible framework for future locomotion RL practitioners. Code, trained checkpoints, and the hexapod URDF generator are publicly available.</w:t>
      </w:r>
    </w:p>
    <w:p>
      <w:pPr>
        <w:spacing w:after="6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mallCaps/>
          <w:sz w:val="20"/>
          <w:szCs w:val="20"/>
        </w:rPr>
        <w:t xml:space="preserve">. References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[1] M. Hutter et al., "ANYmal – a Highly Mobile and Dynamic Quadrupedal Robot," in Proc. IEEE/RSJ IROS, 2016.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[2] J. Hwangbo et al., "Learning agile and dynamic motor skills for legged robots," Science Robotics, vol. 4, no. 26, 2019.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[3] J. Schulman et al., "Proximal Policy Optimization Algorithms," arXiv:1707.06347, 2017.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[4] T. Wang et al., "NerveNet: Learning Structured Policy with Graph Neural Networks," in Proc. ICLR, 2018.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[5] P. Velickovic et al., "Graph Attention Networks," in Proc. ICLR, 2018.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[6] S. Brody et al., "How Attentive are Graph Attention Networks?," in Proc. ICLR, 2022.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[7] D. C. Butterfield et al., "MI-HGNN: Morphology-Informed Heterogeneous GNN for Legged Robot Contact Perception," arXiv:2409.11146, 2024.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[8] J. Tobin et al., "Domain Randomization for Transferring Deep Neural Networks from Simulation to the Real World," in Proc. IEEE/RSJ IROS, 2017.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[9] M. Fey and J. E. Lenssen, "Fast Graph Representation Learning with PyTorch Geometric," ICLR Workshop, 2019.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[10] J. Lee et al., "Learning to walk in minutes using massively parallel deep reinforcement learning," in Proc. CoRL, 2020.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[11] S. Macenski et al., "Robot Operating System 2: Design, architecture, and uses in the wild," Science Robotics, vol. 7, no. 66, 2022.</w:t>
      </w:r>
    </w:p>
    <w:p>
      <w:pPr>
        <w:spacing w:after="40" w:before="0" w:line="240"/>
        <w:ind w:left="288" w:hanging="28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mallCaps w:val="false"/>
          <w:sz w:val="18"/>
          <w:szCs w:val="18"/>
        </w:rPr>
        <w:t xml:space="preserve">[12] E. Coumans and Y. Bai, "PyBullet, a Python module for physics simulation," 2016–2021.</w:t>
      </w:r>
    </w:p>
    <w:sectPr>
      <w:type w:val="continuous"/>
      <w:pgSz w:w="12240" w:h="15840" w:orient="portrait"/>
      <w:pgMar w:top="1080" w:right="900" w:bottom="1440" w:left="900" w:header="708" w:footer="708" w:gutter="0"/>
      <w:pgNumType/>
      <w:cols w:space="36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2026-04-15T21:05:33.557Z</dcterms:created>
  <dcterms:modified xsi:type="dcterms:W3CDTF">2026-04-15T21:05:33.557Z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