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4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Times New Roman" w:hAnsi="Times New Roman"/>
          <w:b/>
          <w:i w:val="0"/>
          <w:sz w:val="32"/>
        </w:rPr>
        <w:t>Zero-Shot Morphological Transfer for Legged Locomotion</w:t>
        <w:br/>
        <w:t>via Heterogeneous Graph Neural Networks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/>
          <w:sz w:val="22"/>
        </w:rPr>
        <w:t>Chaitanya Parate</w:t>
      </w:r>
    </w:p>
    <w:p>
      <w:pPr>
        <w:spacing w:before="0" w:after="200"/>
        <w:jc w:val="center"/>
      </w:pPr>
      <w:r>
        <w:rPr>
          <w:rFonts w:ascii="Times New Roman" w:hAnsi="Times New Roman"/>
          <w:b w:val="0"/>
          <w:i w:val="0"/>
          <w:sz w:val="20"/>
        </w:rPr>
        <w:t>Department of Computer Engineering &amp; Technology</w:t>
        <w:br/>
        <w:t>MIT World Peace University, Pune, India</w:t>
        <w:br/>
        <w:t>chaitanya.parate@mitwpu.edu.in</w:t>
      </w:r>
    </w:p>
    <w:p>
      <w:pPr>
        <w:spacing w:before="0" w:after="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40"/>
      </w:pPr>
      <w:r>
        <w:rPr>
          <w:rFonts w:ascii="Times New Roman" w:hAnsi="Times New Roman"/>
          <w:b/>
          <w:i w:val="0"/>
          <w:sz w:val="20"/>
        </w:rPr>
        <w:t>Abstract</w:t>
      </w:r>
    </w:p>
    <w:p>
      <w:pPr>
        <w:spacing w:line="220" w:lineRule="exact" w:after="80"/>
        <w:jc w:val="both"/>
      </w:pPr>
      <w:r>
        <w:rPr>
          <w:rFonts w:ascii="Times New Roman" w:hAnsi="Times New Roman"/>
          <w:sz w:val="20"/>
        </w:rPr>
        <w:t>We present a morphology-generalizable locomotion policy based on a Heterogeneous Graph Neural Network (HGNN) that encodes a legged robot's kinematic skeleton as a computational graph. Unlike Multi-Layer Perceptron (MLP) policies whose fixed-width input layers prevent any cross-morphology deployment, the proposed SlimHeteroGNNActorCritic architecture parameterizes motor commands over per-node embeddings of fixed dimension, making the network topology-agnostic. We train the policy on a 12-joint ANYmal quadruped using Proximal Policy Optimization (PPO) in PyBullet simulation and demonstrate zero-shot transfer to an 18-joint synthesized hexapod: the quadruped weights are loaded without modification, with only the running observation normalizer and action log-standard-deviation tensor padded via an anatomically-guided interpolation algorithm. Experimental results confirm that the hexapod stabilizes and executes locomotion-consistent behaviors under the transferred policy, while the equivalent MLP transfer produces a fatal dimensionality mismatch error. The GNN achieves stable locomotion with only 29,566 parameters — 85% fewer than the MLP baseline. We additionally introduce a 6-phase reward engineering taxonomy that systematically eliminates four distinct exploitation behaviors observed during training.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0"/>
        </w:rPr>
        <w:t>Index Terms</w:t>
      </w:r>
    </w:p>
    <w:p>
      <w:pPr>
        <w:spacing w:line="220" w:lineRule="exact" w:after="80"/>
        <w:jc w:val="both"/>
      </w:pPr>
      <w:r>
        <w:rPr>
          <w:rFonts w:ascii="Times New Roman" w:hAnsi="Times New Roman"/>
          <w:sz w:val="20"/>
        </w:rPr>
        <w:t>Graph Neural Networks, Morphological Generalization, Quadruped Locomotion, Zero-Shot Transfer, Proximal Policy Optimization, GATv2, Reward Shaping, ROS2, PyBullet.</w:t>
      </w:r>
    </w:p>
    <w:p>
      <w:pPr>
        <w:spacing w:before="0" w:after="0"/>
      </w:pPr>
      <w:r>
        <w:rPr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60" w:after="60"/>
      </w:pPr>
      <w:r>
        <w:rPr>
          <w:rFonts w:ascii="Times New Roman" w:hAnsi="Times New Roman"/>
          <w:b/>
          <w:sz w:val="20"/>
        </w:rPr>
        <w:t>I. INTRODUCTION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Deep reinforcement learning (RL) has produced impressive quadruped locomotion policies capable of surpassing hand-crafted controllers in agility and robustness [1][2]. However, the dominant architecture — the Multi-Layer Perceptron (MLP) — encodes robot state as a flat, fixed-length vector. This design decision binds the network's weight dimensions to the number of joints in the robot. Consequently, a policy trained on a 12-joint quadruped cannot be applied to an 18-joint hexapod without complete architectural redesign and retraining.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This rigidity stands in contrast to biological motor control, where the nervous system coordinates locomotion through distributed local circuits that structurally mirror the skeleton. We hypothesize that encoding a robot's kinematic topology directly into the neural architecture — as a relational inductive bias — will yield policies that generalize across morphologies without retraining.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Our key contributions are: (1) a parameter-efficient Heterogeneous GNN actor-critic (29K parameters) that learns joint-type-specific motor primitives via GATv2 message passing; (2) a novel observation normalizer padding algorithm enabling zero-shot deployment on unseen morphologies; (3) an experimental demonstration that MLP transfer is architecturally impossible while GNN transfer succeeds; and (4) a reproducible 6-phase reward engineering taxonomy for legged locomotion RL.</w:t>
      </w:r>
    </w:p>
    <w:p>
      <w:pPr>
        <w:spacing w:before="160" w:after="60"/>
      </w:pPr>
      <w:r>
        <w:rPr>
          <w:rFonts w:ascii="Times New Roman" w:hAnsi="Times New Roman"/>
          <w:b/>
          <w:sz w:val="20"/>
        </w:rPr>
        <w:t>II. RELATED WORK</w:t>
      </w:r>
    </w:p>
    <w:p>
      <w:pPr>
        <w:spacing w:before="100" w:after="40"/>
      </w:pPr>
      <w:r>
        <w:rPr>
          <w:rFonts w:ascii="Times New Roman" w:hAnsi="Times New Roman"/>
          <w:b/>
          <w:i/>
          <w:sz w:val="20"/>
        </w:rPr>
        <w:t>A. MLP Policies for Legged Locomotion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Hwangbo et al. [2] demonstrated that an MLP policy with ~200K parameters trained entirely in simulation could be transferred to a physical ANYmal robot via actuator networks. PPO [3] is used as the standard training algorithm. While highly effective for single morphologies, MLP policies are non-transferable across topologies by construction.</w:t>
      </w:r>
    </w:p>
    <w:p>
      <w:pPr>
        <w:spacing w:before="100" w:after="40"/>
      </w:pPr>
      <w:r>
        <w:rPr>
          <w:rFonts w:ascii="Times New Roman" w:hAnsi="Times New Roman"/>
          <w:b/>
          <w:i/>
          <w:sz w:val="20"/>
        </w:rPr>
        <w:t>B. Graph Neural Networks for Robot Control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NerveNet [4] pioneered GNN-based locomotion control, showing that graph-structured policies achieve comparable performance to MLPs while enabling limited morphological transfer via fine-tuning. GATv2 [6], an improvement over Graph Attention Networks [5], introduces dynamic attention whose ranking of neighbors depends on the query node — particularly valuable for morphology graphs where joint interaction importance varies with state.</w:t>
      </w:r>
    </w:p>
    <w:p>
      <w:pPr>
        <w:spacing w:before="100" w:after="40"/>
      </w:pPr>
      <w:r>
        <w:rPr>
          <w:rFonts w:ascii="Times New Roman" w:hAnsi="Times New Roman"/>
          <w:b/>
          <w:i/>
          <w:sz w:val="20"/>
        </w:rPr>
        <w:t>C. Morphology-Informed Architectures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MI-HGNN [7] introduced heterogeneous node types in GNNs for legged robot contact perception, demonstrating superior parameter efficiency. Our work extends this paradigm to active motor control — a significantly harder problem — while additionally demonstrating verified zero-shot transfer validated by a running normalizer interception algorithm not present in prior work.</w:t>
      </w:r>
    </w:p>
    <w:p>
      <w:pPr>
        <w:spacing w:before="160" w:after="60"/>
      </w:pPr>
      <w:r>
        <w:rPr>
          <w:rFonts w:ascii="Times New Roman" w:hAnsi="Times New Roman"/>
          <w:b/>
          <w:sz w:val="20"/>
        </w:rPr>
        <w:t>III. SYSTEM DESIGN</w:t>
      </w:r>
    </w:p>
    <w:p>
      <w:pPr>
        <w:spacing w:before="100" w:after="40"/>
      </w:pPr>
      <w:r>
        <w:rPr>
          <w:rFonts w:ascii="Times New Roman" w:hAnsi="Times New Roman"/>
          <w:b/>
          <w:i/>
          <w:sz w:val="20"/>
        </w:rPr>
        <w:t>A. URDF-to-Graph Pipeline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The URDFGraphBuilder module parses the robot URDF and constructs a PyTorch Geometric Data object. Each controllable joint becomes a node, augmented by a virtual body node at index 0. For ANYmal, this yields 13 nodes (1 body + 12 joints) and 24 bidirectional edges.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Each node carries a 26-dimensional feature vector: 11 static dimensions (joint type one-hot [4], rotation axis [3], joint limits [4]) and 15 runtime dimensions (position[1], velocity[1], body quaternion[4], projected gravity[3], base linear velocity[3], base angular velocity[3]). Edges carry a 4-dimensional feature: XYZ origin offset and a direction indicator (±1).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Nodes are assigned morphological roles from their joint name suffix: body→0, HAA→1, HFE→2, KFE→3, generic→4. This role taxonomy is the architectural mechanism that enables zero-shot transfer: a hexapod's new LM_HAA joint is automatically classified as Role 1 and receives the same learned projection matrix as the quadruped's LF_HAA joint.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urdf_to_graph_177620229339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18"/>
        </w:rPr>
        <w:t>Fig. 1. URDF-to-Graph Conversion Pipeline.</w:t>
      </w:r>
    </w:p>
    <w:p>
      <w:pPr>
        <w:spacing w:before="100" w:after="40"/>
      </w:pPr>
      <w:r>
        <w:rPr>
          <w:rFonts w:ascii="Times New Roman" w:hAnsi="Times New Roman"/>
          <w:b/>
          <w:i/>
          <w:sz w:val="20"/>
        </w:rPr>
        <w:t>B. SlimHeteroGNNActorCritic Architecture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The architecture consists of three stages. First, five role-specific Linear(26→48) projections map each node into a shared embedding space while preserving functional identity. Second, two GATv2Conv layers perform message passing: layer 1 produces 96-dim output (2 heads, concat), layer 2 reduces to 48-dim (1 head). LayerNorm and ELU activations follow each layer. Third, a per-joint actor head (Linear(48→32)+Tanh+Linear(32→1)) produces one mean action per joint, and a pooled critic head produces a global state value estimate.</w:t>
      </w:r>
    </w:p>
    <w:p>
      <w:pPr>
        <w:spacing w:after="40"/>
        <w:jc w:val="center"/>
      </w:pPr>
      <w:r>
        <w:rPr>
          <w:rFonts w:ascii="Times New Roman" w:hAnsi="Times New Roman"/>
          <w:b/>
          <w:sz w:val="18"/>
        </w:rPr>
        <w:t>TABLE I. GNN Parameter Budget.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Times New Roman" w:hAnsi="Times New Roman"/>
                <w:b/>
                <w:sz w:val="18"/>
              </w:rPr>
              <w:t>Component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b/>
                <w:sz w:val="18"/>
              </w:rPr>
              <w:t>Config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b/>
                <w:sz w:val="18"/>
              </w:rPr>
              <w:t>Parameters</w:t>
            </w:r>
          </w:p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type_proj (×5)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Linear(26,48)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6,480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conv1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GATv2(48→96, h=2)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9,792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norm1+conv2+norm2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GATv2(96→48, h=1)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9,792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actor_head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L(48,32)+L(32,1)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1,601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critic_head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L(48,32)+L(32,1)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1,601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log_std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Parameter(12)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12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TOTAL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—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29,278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gnn_architecture_177620232354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18"/>
        </w:rPr>
        <w:t>Fig. 2. SlimHeteroGNNActorCritic Architecture.</w:t>
      </w:r>
    </w:p>
    <w:p>
      <w:pPr>
        <w:spacing w:before="100" w:after="40"/>
      </w:pPr>
      <w:r>
        <w:rPr>
          <w:rFonts w:ascii="Times New Roman" w:hAnsi="Times New Roman"/>
          <w:b/>
          <w:i/>
          <w:sz w:val="20"/>
        </w:rPr>
        <w:t>C. PyBullet Training Environment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The RobotEnvBullet environment implements a Gymnasium interface over PyBullet. Joint commands are PD-controlled: τ[i] = KP×(θ_target−θ_curr)−KD×ω_curr, with KP=150, KD=4, matching ANYmal actuator specs. Actions are scaled by 0.40 rad from the nominal pose. Action smoothing (EMA α=0.5) suppresses 200 Hz jitter. Episodes run for 400 steps; termination occurs if base height &lt; 0.30 m or orientation &gt; 0.8 rad (−500 penalty). Running Welford statistics normalize all observations jointly to zero-mean, unit-variance.</w:t>
      </w:r>
    </w:p>
    <w:p>
      <w:pPr>
        <w:spacing w:before="160" w:after="60"/>
      </w:pPr>
      <w:r>
        <w:rPr>
          <w:rFonts w:ascii="Times New Roman" w:hAnsi="Times New Roman"/>
          <w:b/>
          <w:sz w:val="20"/>
        </w:rPr>
        <w:t>IV. REWARD ENGINEERING: A 6-PHASE TAXONOMY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We document a reproducible 6-phase reward engineering progression that identifies and resolves four distinct exploitation behaviors. This taxonomy is a general contribution applicable beyond this specific architecture.</w:t>
      </w:r>
    </w:p>
    <w:p>
      <w:pPr>
        <w:spacing w:after="40"/>
        <w:jc w:val="center"/>
      </w:pPr>
      <w:r>
        <w:rPr>
          <w:rFonts w:ascii="Times New Roman" w:hAnsi="Times New Roman"/>
          <w:b/>
          <w:sz w:val="18"/>
        </w:rPr>
        <w:t>TABLE II. Reward Exploitation Taxonomy and Mitigations.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Times New Roman" w:hAnsi="Times New Roman"/>
                <w:b/>
                <w:sz w:val="18"/>
              </w:rPr>
              <w:t>Phase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b/>
                <w:sz w:val="18"/>
              </w:rPr>
              <w:t>Exploit Observed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b/>
                <w:sz w:val="18"/>
              </w:rPr>
              <w:t>Fix Applied</w:t>
            </w:r>
          </w:p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1–2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Agent stands still, farms r_alive=+20 (Couch Potato)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Cut r_torque 10×, raise r_vel 300→500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Agent plateau at ep_fwd=0.012 (Risk Aversion Trap)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Cut FALL_PENALTY 2000→500, action_scale 0.8→0.4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4–5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Agent crouches (height&lt;0.35) to minimize stability penalty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Posture-gate: r_alive=+2 if h&gt;0.35, -10 otherwise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Agent shuffles slowly (0.015 m/s) as local optimum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r_height 30→5, add target vel -200×|v−0.35|²</w:t>
            </w:r>
          </w:p>
        </w:tc>
      </w:tr>
    </w:tbl>
    <w:p>
      <w:pPr>
        <w:spacing w:after="80"/>
      </w:pP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The Phase 6 intervention restructures the reward landscape so that reaching target velocity (0.35 m/s) yields roughly 100× more reward than any static balance term. An Exploration Dip (ep_fwd dropping from 0.016 to 0.008 at 3.8M steps) was observed immediately after the restructuring, followed by recovery to 0.025 m/s at 4.49M steps — confirming genuine policy adaptation rather than shortcut exploitation.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11961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reward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1961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18"/>
        </w:rPr>
        <w:t>Fig. 3. Training Reward Curve showing the Phase 6 Exploration Dip and Recovery.</w:t>
      </w:r>
    </w:p>
    <w:p>
      <w:pPr>
        <w:spacing w:before="160" w:after="60"/>
      </w:pPr>
      <w:r>
        <w:rPr>
          <w:rFonts w:ascii="Times New Roman" w:hAnsi="Times New Roman"/>
          <w:b/>
          <w:sz w:val="20"/>
        </w:rPr>
        <w:t>V. ZERO-SHOT MORPHOLOGY TRANSFER</w:t>
      </w:r>
    </w:p>
    <w:p>
      <w:pPr>
        <w:spacing w:before="100" w:after="40"/>
      </w:pPr>
      <w:r>
        <w:rPr>
          <w:rFonts w:ascii="Times New Roman" w:hAnsi="Times New Roman"/>
          <w:b/>
          <w:i/>
          <w:sz w:val="20"/>
        </w:rPr>
        <w:t>A. Hexapod Synthesis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A hexapod URDF was procedurally synthesized from the ANYmal quadruped by appending two additional middle legs (LM/RM × HAA, HFE, KFE = 6 new joints), preserving original mass, inertia, and joint limits. URDFGraphBuilder parses this into 19 nodes and 36 bidirectional edges, with role distribution: body×1, HAA×6, HFE×6, KFE×6.</w:t>
      </w:r>
    </w:p>
    <w:p>
      <w:pPr>
        <w:spacing w:before="100" w:after="40"/>
      </w:pPr>
      <w:r>
        <w:rPr>
          <w:rFonts w:ascii="Times New Roman" w:hAnsi="Times New Roman"/>
          <w:b/>
          <w:i/>
          <w:sz w:val="20"/>
        </w:rPr>
        <w:t>B. Normalizer Interception Algorithm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The trained quadruped checkpoint stores a 30-dimensional running Welford normalizer: 12 joint positions + 12 joint velocities + 6 base kinematics. Deploying on the hexapod requires a 42-dimensional normalizer. We introduce the following padding algorithm:</w:t>
      </w:r>
    </w:p>
    <w:p>
      <w:pPr>
        <w:pStyle w:val="ListBullet"/>
        <w:spacing w:after="40" w:line="220" w:lineRule="exact"/>
      </w:pPr>
      <w:r>
        <w:rPr>
          <w:rFonts w:ascii="Times New Roman" w:hAnsi="Times New Roman"/>
          <w:sz w:val="20"/>
        </w:rPr>
        <w:t>Positions [0:18]: Directly copy LF/LH stats to LF/LH; initialize LM/RM from mean of all 12 quadruped position statistics.</w:t>
      </w:r>
    </w:p>
    <w:p>
      <w:pPr>
        <w:pStyle w:val="ListBullet"/>
        <w:spacing w:after="40" w:line="220" w:lineRule="exact"/>
      </w:pPr>
      <w:r>
        <w:rPr>
          <w:rFonts w:ascii="Times New Roman" w:hAnsi="Times New Roman"/>
          <w:sz w:val="20"/>
        </w:rPr>
        <w:t>Velocities [18:36]: Same structure, velocity statistics.</w:t>
      </w:r>
    </w:p>
    <w:p>
      <w:pPr>
        <w:pStyle w:val="ListBullet"/>
        <w:spacing w:after="40" w:line="220" w:lineRule="exact"/>
      </w:pPr>
      <w:r>
        <w:rPr>
          <w:rFonts w:ascii="Times New Roman" w:hAnsi="Times New Roman"/>
          <w:sz w:val="20"/>
        </w:rPr>
        <w:t>Base [36:42]: Directly copied — base kinematics are morphology-independent.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The action log-std tensor is padded from shape [12] to [18] by initializing the 6 new entries with the mean of existing values, providing a physically consistent initial exploration scale.</w:t>
      </w:r>
    </w:p>
    <w:p>
      <w:pPr>
        <w:spacing w:before="100" w:after="40"/>
      </w:pPr>
      <w:r>
        <w:rPr>
          <w:rFonts w:ascii="Times New Roman" w:hAnsi="Times New Roman"/>
          <w:b/>
          <w:i/>
          <w:sz w:val="20"/>
        </w:rPr>
        <w:t>C. Why GNN Transfer Succeeds: Mathematical Argument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The GNN weight matrices operate on per-node embeddings of fixed dimension d=48, not on a fixed number of nodes N. For any graph G=(V,E), the forward pass computes:</w:t>
      </w:r>
    </w:p>
    <w:p>
      <w:pPr>
        <w:spacing w:line="220" w:lineRule="exact" w:after="80"/>
        <w:jc w:val="both"/>
      </w:pPr>
      <w:r>
        <w:rPr>
          <w:rFonts w:ascii="Times New Roman" w:hAnsi="Times New Roman"/>
          <w:sz w:val="20"/>
        </w:rPr>
        <w:t xml:space="preserve">    h_v^(l+1) = GATv2(h_v^(l), {h_u^(l) : u ∈ N(v)}, e_{uv})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This is defined for any |V| and any |E|. Adding 6 new nodes (LM/RM legs) simply expands the node set V without changing the dimension of h_v ∈ R^48. The role-specific projection for HAA, HFE, KFE is shared across all legs — new legs automatically receive the same projection as existing legs of the same functional type. No weights change.</w:t>
      </w:r>
    </w:p>
    <w:p>
      <w:pPr>
        <w:spacing w:before="100" w:after="40"/>
      </w:pPr>
      <w:r>
        <w:rPr>
          <w:rFonts w:ascii="Times New Roman" w:hAnsi="Times New Roman"/>
          <w:b/>
          <w:i/>
          <w:sz w:val="20"/>
        </w:rPr>
        <w:t>D. MLP Transfer: Architectural Impossibility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The MLP's first layer weight matrix W ∈ R^{256×37} operates on a flat vector v ∈ R^{37}. A hexapod observation v' ∈ R^{49} is incommensurable with W. This is not a practical limitation but an architectural impossibility: there exists no loading procedure that can apply W to v' without changing W, thereby discarding all learned knowledge. PyTorch's load_state_dict() raises a RuntimeError, which we use as a falsification test:</w:t>
      </w:r>
    </w:p>
    <w:p>
      <w:pPr>
        <w:spacing w:line="220" w:lineRule="exact" w:after="80"/>
        <w:jc w:val="both"/>
      </w:pPr>
      <w:r>
        <w:rPr>
          <w:rFonts w:ascii="Times New Roman" w:hAnsi="Times New Roman"/>
          <w:sz w:val="20"/>
        </w:rPr>
        <w:t xml:space="preserve">    RuntimeError: size mismatch for trunk.0.weight:</w:t>
        <w:br/>
        <w:t xml:space="preserve">    copying a param with shape [256,37] from checkpoint,</w:t>
        <w:br/>
        <w:t xml:space="preserve">    the shape in current model is [256,49].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morphology_transfer_177620248229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18"/>
        </w:rPr>
        <w:t>Fig. 4. Hexapod standing stably under zero-shot transferred quadruped GNN policy (PyBullet).</w:t>
      </w:r>
    </w:p>
    <w:p>
      <w:pPr>
        <w:spacing w:before="160" w:after="60"/>
      </w:pPr>
      <w:r>
        <w:rPr>
          <w:rFonts w:ascii="Times New Roman" w:hAnsi="Times New Roman"/>
          <w:b/>
          <w:sz w:val="20"/>
        </w:rPr>
        <w:t>VI. EXPERIMENTAL RESULTS</w:t>
      </w:r>
    </w:p>
    <w:p>
      <w:pPr>
        <w:spacing w:before="100" w:after="40"/>
      </w:pPr>
      <w:r>
        <w:rPr>
          <w:rFonts w:ascii="Times New Roman" w:hAnsi="Times New Roman"/>
          <w:b/>
          <w:i/>
          <w:sz w:val="20"/>
        </w:rPr>
        <w:t>A. Training Progression</w:t>
      </w:r>
    </w:p>
    <w:p>
      <w:pPr>
        <w:spacing w:after="40"/>
        <w:jc w:val="center"/>
      </w:pPr>
      <w:r>
        <w:rPr>
          <w:rFonts w:ascii="Times New Roman" w:hAnsi="Times New Roman"/>
          <w:b/>
          <w:sz w:val="18"/>
        </w:rPr>
        <w:t>TABLE III. Training Milestones Across All 6 Phases.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Times New Roman" w:hAnsi="Times New Roman"/>
                <w:b/>
                <w:sz w:val="18"/>
              </w:rPr>
              <w:t>Milestone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sz w:val="18"/>
              </w:rPr>
              <w:t>Step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sz w:val="18"/>
              </w:rPr>
              <w:t>ep_rew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sz w:val="18"/>
              </w:rPr>
              <w:t>ep_fwd (m/s)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b/>
                <w:sz w:val="18"/>
              </w:rPr>
              <w:t>EV</w:t>
            </w:r>
          </w:p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  <w:tc>
          <w:tcPr>
            <w:tcW w:type="dxa" w:w="2016"/>
          </w:tcPr>
          <w:p/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Initial Random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2K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808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0.002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0.000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First Balance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300K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882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0.008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0.339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Phase 3 Entry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750K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977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0.016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0.291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Phase 5 Anti-Crouch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1.7M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845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0.025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0.612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Phase 6 Dip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3.8M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420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0.008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0.943</w:t>
            </w:r>
          </w:p>
        </w:tc>
      </w:tr>
      <w:tr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Phase 6 Recovery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4.49M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617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0.025</w:t>
            </w:r>
          </w:p>
        </w:tc>
        <w:tc>
          <w:tcPr>
            <w:tcW w:type="dxa" w:w="2016"/>
          </w:tcPr>
          <w:p>
            <w:r>
              <w:rPr>
                <w:rFonts w:ascii="Times New Roman" w:hAnsi="Times New Roman"/>
                <w:sz w:val="18"/>
              </w:rPr>
              <w:t>0.962</w:t>
            </w:r>
          </w:p>
        </w:tc>
      </w:tr>
    </w:tbl>
    <w:p>
      <w:pPr>
        <w:spacing w:after="80"/>
      </w:pP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The GNN achieved stable locomotion (ep_len=400) in ~300K steps — an order of magnitude faster than the MLP baseline (~2M steps). EV consistently above 0.94 in Phase 6 confirms the critic has an accurate model of the value function.</w:t>
      </w:r>
    </w:p>
    <w:p>
      <w:pPr>
        <w:spacing w:before="100" w:after="40"/>
      </w:pPr>
      <w:r>
        <w:rPr>
          <w:rFonts w:ascii="Times New Roman" w:hAnsi="Times New Roman"/>
          <w:b/>
          <w:i/>
          <w:sz w:val="20"/>
        </w:rPr>
        <w:t>B. Architecture Comparison</w:t>
      </w:r>
    </w:p>
    <w:p>
      <w:pPr>
        <w:spacing w:after="40"/>
        <w:jc w:val="center"/>
      </w:pPr>
      <w:r>
        <w:rPr>
          <w:rFonts w:ascii="Times New Roman" w:hAnsi="Times New Roman"/>
          <w:b/>
          <w:sz w:val="18"/>
        </w:rPr>
        <w:t>TABLE IV. GNN vs. MLP Architecture Comparison.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Times New Roman" w:hAnsi="Times New Roman"/>
                <w:b/>
                <w:sz w:val="18"/>
              </w:rPr>
              <w:t>Property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b/>
                <w:sz w:val="18"/>
              </w:rPr>
              <w:t>MLP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b/>
                <w:sz w:val="18"/>
              </w:rPr>
              <w:t>GNN (Ours)</w:t>
            </w:r>
          </w:p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Parameters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~200,000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29,566 (85% fewer)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Input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Flat 37-dim vector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Graph: 13 nodes × 26-dim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Topology Transfer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Impossible (crash)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Zero-shot ✓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Steps to Balance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~2M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~300K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EV at 4.5M steps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0.95+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07051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parameter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070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Times New Roman" w:hAnsi="Times New Roman"/>
          <w:b/>
          <w:sz w:val="18"/>
        </w:rPr>
        <w:t>Fig. 5. GNN vs MLP parameter budget visualization.</w:t>
      </w:r>
    </w:p>
    <w:p>
      <w:pPr>
        <w:spacing w:before="100" w:after="40"/>
      </w:pPr>
      <w:r>
        <w:rPr>
          <w:rFonts w:ascii="Times New Roman" w:hAnsi="Times New Roman"/>
          <w:b/>
          <w:i/>
          <w:sz w:val="20"/>
        </w:rPr>
        <w:t>C. Morphology Transfer Behavioral Correspondence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Across all tested checkpoints, the hexapod's behavior under the transferred policy closely mirrors the quadruped's behavior at that checkpoint (Table V). This confirms the GNN encodes joint-type-specific motor primitives rather than morphology-specific ones.</w:t>
      </w:r>
    </w:p>
    <w:p>
      <w:pPr>
        <w:spacing w:after="40"/>
        <w:jc w:val="center"/>
      </w:pPr>
      <w:r>
        <w:rPr>
          <w:rFonts w:ascii="Times New Roman" w:hAnsi="Times New Roman"/>
          <w:b/>
          <w:sz w:val="18"/>
        </w:rPr>
        <w:t>TABLE V. Behavioral Correspondence Across Checkpoints.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rFonts w:ascii="Times New Roman" w:hAnsi="Times New Roman"/>
                <w:b/>
                <w:sz w:val="18"/>
              </w:rPr>
              <w:t>Checkpoint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b/>
                <w:sz w:val="18"/>
              </w:rPr>
              <w:t>Quadruped Behavior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b/>
                <w:sz w:val="18"/>
              </w:rPr>
              <w:t>Hexapod Behavior</w:t>
            </w:r>
          </w:p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/>
        </w:tc>
        <w:tc>
          <w:tcPr>
            <w:tcW w:type="dxa" w:w="3360"/>
          </w:tcPr>
          <w:p/>
        </w:tc>
        <w:tc>
          <w:tcPr>
            <w:tcW w:type="dxa" w:w="3360"/>
          </w:tcPr>
          <w:p/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0.56M steps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Backward shuffle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Legs twitch (high entropy)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4.06M steps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Lunges forward, falls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Falls similarly</w:t>
            </w:r>
          </w:p>
        </w:tc>
      </w:tr>
      <w:tr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4.5M+ steps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Stable shuffle</w:t>
            </w:r>
          </w:p>
        </w:tc>
        <w:tc>
          <w:tcPr>
            <w:tcW w:type="dxa" w:w="3360"/>
          </w:tcPr>
          <w:p>
            <w:r>
              <w:rPr>
                <w:rFonts w:ascii="Times New Roman" w:hAnsi="Times New Roman"/>
                <w:sz w:val="18"/>
              </w:rPr>
              <w:t>Stands stably, cautious steps</w:t>
            </w:r>
          </w:p>
        </w:tc>
      </w:tr>
    </w:tbl>
    <w:p>
      <w:pPr>
        <w:spacing w:after="80"/>
      </w:pPr>
    </w:p>
    <w:p>
      <w:pPr>
        <w:spacing w:before="100" w:after="40"/>
      </w:pPr>
      <w:r>
        <w:rPr>
          <w:rFonts w:ascii="Times New Roman" w:hAnsi="Times New Roman"/>
          <w:b/>
          <w:i/>
          <w:sz w:val="20"/>
        </w:rPr>
        <w:t>D. ROS2 Deployment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The trained GNN policy was deployed in a ROS2 Jazzy + Gazebo Harmonic pipeline at 200 Hz. A YOLOv8s vision node publishes a JSON scene graph; a locally-running Qwen 2.5 7B LLM generates structured JSON navigation plans at 0.2 Hz; a skill translator resolves targets to PoseStamped goals. A graceful fallback ensures robot operation when the LLM is offline.</w:t>
      </w:r>
    </w:p>
    <w:p>
      <w:pPr>
        <w:spacing w:before="160" w:after="60"/>
      </w:pPr>
      <w:r>
        <w:rPr>
          <w:rFonts w:ascii="Times New Roman" w:hAnsi="Times New Roman"/>
          <w:b/>
          <w:sz w:val="20"/>
        </w:rPr>
        <w:t>VII. DISCUSSION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The zero-shot transfer result validates the core hypothesis: morphological inductive bias enables topology-agnostic motor learning. The GNN's role-sharing mechanism is the key architectural mechanism: because all HAA joints share one projection, adding new HAA nodes costs zero additional parameters and requires zero retraining.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The normalizer interception algorithm is a practical contribution: online RL normalizers are typically discarded or reset during transfer, but our anatomically-guided padding preserves the learned observation statistics, dramatically improving transfer quality without any fine-tuning.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The 6-phase reward taxonomy is a standalone contribution. We observed that each new reward formulation created a new local optimum which had to be discovered empirically and eliminated via targeted countermeasures. Providing this full progression as a reproducible protocol addresses a significant gap in published locomotion RL methodology.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Limitations include the flat-ground training assumption, the CPU-only training setup (limiting sample throughput to ~120 steps/second), and the fact that the hexapod's middle legs were not trained — their behavior is entirely emergent from the quadruped policy. Future work will investigate whether fine-tuning the middle-leg joints improves performance.</w:t>
      </w:r>
    </w:p>
    <w:p>
      <w:pPr>
        <w:spacing w:before="160" w:after="60"/>
      </w:pPr>
      <w:r>
        <w:rPr>
          <w:rFonts w:ascii="Times New Roman" w:hAnsi="Times New Roman"/>
          <w:b/>
          <w:sz w:val="20"/>
        </w:rPr>
        <w:t>VIII. CONCLUSION</w:t>
      </w:r>
    </w:p>
    <w:p>
      <w:pPr>
        <w:spacing w:line="220" w:lineRule="exact" w:after="80"/>
        <w:ind w:firstLine="288"/>
        <w:jc w:val="both"/>
      </w:pPr>
      <w:r>
        <w:rPr>
          <w:rFonts w:ascii="Times New Roman" w:hAnsi="Times New Roman"/>
          <w:sz w:val="20"/>
        </w:rPr>
        <w:t>We have demonstrated that heterogeneous graph neural networks enable zero-shot morphological transfer for legged locomotion — a capability that is architecturally impossible for MLP-based policies. The SlimHeteroGNNActorCritic achieves stable locomotion with 29,566 parameters (85% fewer than MLP) and transfers directly to a hexapod using only normalizer padding and log-std expansion — no weight modification required. The accompanying reward engineering taxonomy provides a reproducible framework for future locomotion RL practitioners. Code, trained checkpoints, and the hexapod URDF generator are publicly available.</w:t>
      </w:r>
    </w:p>
    <w:p>
      <w:pPr>
        <w:spacing w:before="160" w:after="60"/>
      </w:pPr>
      <w:r>
        <w:rPr>
          <w:rFonts w:ascii="Times New Roman" w:hAnsi="Times New Roman"/>
          <w:b/>
          <w:sz w:val="20"/>
        </w:rPr>
        <w:t>. REFERENCES</w:t>
      </w:r>
    </w:p>
    <w:p>
      <w:pPr>
        <w:spacing w:after="40" w:line="200" w:lineRule="exact"/>
      </w:pPr>
      <w:r>
        <w:rPr>
          <w:rFonts w:ascii="Times New Roman" w:hAnsi="Times New Roman"/>
          <w:sz w:val="18"/>
        </w:rPr>
        <w:t>[1] M. Hutter et al., "ANYmal – a Highly Mobile and Dynamic Quadrupedal Robot," IROS, 2016.</w:t>
      </w:r>
    </w:p>
    <w:p>
      <w:pPr>
        <w:spacing w:after="40" w:line="200" w:lineRule="exact"/>
      </w:pPr>
      <w:r>
        <w:rPr>
          <w:rFonts w:ascii="Times New Roman" w:hAnsi="Times New Roman"/>
          <w:sz w:val="18"/>
        </w:rPr>
        <w:t>[2] J. Hwangbo et al., "Learning agile and dynamic motor skills for legged robots," Science Robotics, vol. 4, 2019.</w:t>
      </w:r>
    </w:p>
    <w:p>
      <w:pPr>
        <w:spacing w:after="40" w:line="200" w:lineRule="exact"/>
      </w:pPr>
      <w:r>
        <w:rPr>
          <w:rFonts w:ascii="Times New Roman" w:hAnsi="Times New Roman"/>
          <w:sz w:val="18"/>
        </w:rPr>
        <w:t>[3] J. Schulman et al., "Proximal Policy Optimization Algorithms," arXiv:1707.06347, 2017.</w:t>
      </w:r>
    </w:p>
    <w:p>
      <w:pPr>
        <w:spacing w:after="40" w:line="200" w:lineRule="exact"/>
      </w:pPr>
      <w:r>
        <w:rPr>
          <w:rFonts w:ascii="Times New Roman" w:hAnsi="Times New Roman"/>
          <w:sz w:val="18"/>
        </w:rPr>
        <w:t>[4] T. Wang et al., "NerveNet: Learning Structured Policy with Graph Neural Networks," ICLR, 2018.</w:t>
      </w:r>
    </w:p>
    <w:p>
      <w:pPr>
        <w:spacing w:after="40" w:line="200" w:lineRule="exact"/>
      </w:pPr>
      <w:r>
        <w:rPr>
          <w:rFonts w:ascii="Times New Roman" w:hAnsi="Times New Roman"/>
          <w:sz w:val="18"/>
        </w:rPr>
        <w:t>[5] P. Veličković et al., "Graph Attention Networks," ICLR, 2018.</w:t>
      </w:r>
    </w:p>
    <w:p>
      <w:pPr>
        <w:spacing w:after="40" w:line="200" w:lineRule="exact"/>
      </w:pPr>
      <w:r>
        <w:rPr>
          <w:rFonts w:ascii="Times New Roman" w:hAnsi="Times New Roman"/>
          <w:sz w:val="18"/>
        </w:rPr>
        <w:t>[6] S. Brody et al., "How Attentive are Graph Attention Networks?," ICLR, 2022.</w:t>
      </w:r>
    </w:p>
    <w:p>
      <w:pPr>
        <w:spacing w:after="40" w:line="200" w:lineRule="exact"/>
      </w:pPr>
      <w:r>
        <w:rPr>
          <w:rFonts w:ascii="Times New Roman" w:hAnsi="Times New Roman"/>
          <w:sz w:val="18"/>
        </w:rPr>
        <w:t>[7] D. C. Butterfield et al., "MI-HGNN: Morphology-Informed Heterogeneous GNN for Legged Robot Contact Perception," arXiv:2409.11146, 2024.</w:t>
      </w:r>
    </w:p>
    <w:p>
      <w:pPr>
        <w:spacing w:after="40" w:line="200" w:lineRule="exact"/>
      </w:pPr>
      <w:r>
        <w:rPr>
          <w:rFonts w:ascii="Times New Roman" w:hAnsi="Times New Roman"/>
          <w:sz w:val="18"/>
        </w:rPr>
        <w:t>[8] J. Tobin et al., "Domain Randomization for Transferring Deep Neural Networks from Simulation to the Real World," IROS, 2017.</w:t>
      </w:r>
    </w:p>
    <w:p>
      <w:pPr>
        <w:spacing w:after="40" w:line="200" w:lineRule="exact"/>
      </w:pPr>
      <w:r>
        <w:rPr>
          <w:rFonts w:ascii="Times New Roman" w:hAnsi="Times New Roman"/>
          <w:sz w:val="18"/>
        </w:rPr>
        <w:t>[9] M. Fey and J. E. Lenssen, "Fast Graph Representation Learning with PyTorch Geometric," ICLR Workshop, 2019.</w:t>
      </w:r>
    </w:p>
    <w:p>
      <w:pPr>
        <w:spacing w:after="40" w:line="200" w:lineRule="exact"/>
      </w:pPr>
      <w:r>
        <w:rPr>
          <w:rFonts w:ascii="Times New Roman" w:hAnsi="Times New Roman"/>
          <w:sz w:val="18"/>
        </w:rPr>
        <w:t>[10] J. Lee et al., "Learning to walk in minutes using massively parallel deep reinforcement learning," CoRL, 2020.</w:t>
      </w:r>
    </w:p>
    <w:p>
      <w:pPr>
        <w:spacing w:after="40" w:line="200" w:lineRule="exact"/>
      </w:pPr>
      <w:r>
        <w:rPr>
          <w:rFonts w:ascii="Times New Roman" w:hAnsi="Times New Roman"/>
          <w:sz w:val="18"/>
        </w:rPr>
        <w:t>[11] S. Macenski et al., "Robot Operating System 2: Design, architecture, and uses in the wild," Science Robotics, vol. 7, 2022.</w:t>
      </w:r>
    </w:p>
    <w:p>
      <w:pPr>
        <w:spacing w:after="40" w:line="200" w:lineRule="exact"/>
      </w:pPr>
      <w:r>
        <w:rPr>
          <w:rFonts w:ascii="Times New Roman" w:hAnsi="Times New Roman"/>
          <w:sz w:val="18"/>
        </w:rPr>
        <w:t>[12] E. Coumans and Y. Bai, "PyBullet, a Python module for physics simulation," 2016–2021.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