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AMENDMENT NO. 1 TO MASTER SERVICES AGREEMENT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Amendment No.:</w:t>
      </w:r>
      <w:r>
        <w:rPr>
          <w:sz w:val="21"/>
          <w:szCs w:val="21"/>
        </w:rPr>
        <w:t xml:space="preserve"> AMD-2026-014-01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Amends:</w:t>
      </w:r>
      <w:r>
        <w:rPr>
          <w:sz w:val="21"/>
          <w:szCs w:val="21"/>
        </w:rPr>
        <w:t xml:space="preserve"> MSA-2026-014 (Master Services Agreement)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Counterparty:</w:t>
      </w:r>
      <w:r>
        <w:rPr>
          <w:sz w:val="21"/>
          <w:szCs w:val="21"/>
        </w:rPr>
        <w:t xml:space="preserve"> Northwind Logistics Private Limited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Provider:</w:t>
      </w:r>
      <w:r>
        <w:rPr>
          <w:sz w:val="21"/>
          <w:szCs w:val="21"/>
        </w:rPr>
        <w:t xml:space="preserve"> Soft Suave Technologies Private Limited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Effective Date:</w:t>
      </w:r>
      <w:r>
        <w:rPr>
          <w:sz w:val="21"/>
          <w:szCs w:val="21"/>
        </w:rPr>
        <w:t xml:space="preserve"> 1 April 2026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Document Version:</w:t>
      </w:r>
      <w:r>
        <w:rPr>
          <w:sz w:val="21"/>
          <w:szCs w:val="21"/>
        </w:rPr>
        <w:t xml:space="preserve"> v1.1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Status:</w:t>
      </w:r>
      <w:r>
        <w:rPr>
          <w:sz w:val="21"/>
          <w:szCs w:val="21"/>
        </w:rPr>
        <w:t xml:space="preserve"> Executed — superseded in part by Amendment No. 2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This Amendment No. 1 (this "</w:t>
      </w:r>
      <w:r>
        <w:rPr>
          <w:b/>
          <w:bCs/>
          <w:sz w:val="21"/>
          <w:szCs w:val="21"/>
        </w:rPr>
        <w:t xml:space="preserve">Amendment</w:t>
      </w:r>
      <w:r>
        <w:rPr>
          <w:sz w:val="21"/>
          <w:szCs w:val="21"/>
        </w:rPr>
        <w:t xml:space="preserve">") is made as of 1 April 2026 between </w:t>
      </w:r>
      <w:r>
        <w:rPr>
          <w:b/>
          <w:bCs/>
          <w:sz w:val="21"/>
          <w:szCs w:val="21"/>
        </w:rPr>
        <w:t xml:space="preserve">Soft Suave Technologies Private Limited</w:t>
      </w:r>
      <w:r>
        <w:rPr>
          <w:sz w:val="21"/>
          <w:szCs w:val="21"/>
        </w:rPr>
        <w:t xml:space="preserve"> ("Provider") and </w:t>
      </w:r>
      <w:r>
        <w:rPr>
          <w:b/>
          <w:bCs/>
          <w:sz w:val="21"/>
          <w:szCs w:val="21"/>
        </w:rPr>
        <w:t xml:space="preserve">Northwind Logistics Private Limited</w:t>
      </w:r>
      <w:r>
        <w:rPr>
          <w:sz w:val="21"/>
          <w:szCs w:val="21"/>
        </w:rPr>
        <w:t xml:space="preserve"> ("Client"), and amends the Master Services Agreement No. MSA-2026-014 dated 14 January 2026 (the "</w:t>
      </w:r>
      <w:r>
        <w:rPr>
          <w:b/>
          <w:bCs/>
          <w:sz w:val="21"/>
          <w:szCs w:val="21"/>
        </w:rPr>
        <w:t xml:space="preserve">Agreement</w:t>
      </w:r>
      <w:r>
        <w:rPr>
          <w:sz w:val="21"/>
          <w:szCs w:val="21"/>
        </w:rPr>
        <w:t xml:space="preserve">").</w:t>
      </w:r>
    </w:p>
    <w:p>
      <w:pPr>
        <w:spacing w:after="120" w:before="60" w:line="280"/>
      </w:pPr>
      <w:r>
        <w:rPr>
          <w:sz w:val="21"/>
          <w:szCs w:val="21"/>
        </w:rPr>
        <w:t xml:space="preserve">Capitalised terms used but not defined in this Amendment have the meanings given in the Agreement.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1. New Defined Terms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1.1</w:t>
      </w:r>
      <w:r>
        <w:rPr>
          <w:sz w:val="21"/>
          <w:szCs w:val="21"/>
        </w:rPr>
        <w:t xml:space="preserve"> Section 1 of the Agreement is amended by inserting the following new definitions: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"Critical Service"</w:t>
      </w:r>
      <w:r>
        <w:rPr>
          <w:sz w:val="21"/>
          <w:szCs w:val="21"/>
        </w:rPr>
        <w:t xml:space="preserve"> means any Service designated as Critical in Schedule A, Part 2.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"Escalation Contact"</w:t>
      </w:r>
      <w:r>
        <w:rPr>
          <w:sz w:val="21"/>
          <w:szCs w:val="21"/>
        </w:rPr>
        <w:t xml:space="preserve"> means the individual named for each escalation tier in </w:t>
      </w:r>
      <w:r>
        <w:rPr>
          <w:b/>
          <w:bCs/>
          <w:sz w:val="21"/>
          <w:szCs w:val="21"/>
        </w:rPr>
        <w:t xml:space="preserve">Schedule B-2 (Notice and Escalation Matrix)</w:t>
      </w:r>
      <w:r>
        <w:rPr>
          <w:sz w:val="21"/>
          <w:szCs w:val="21"/>
        </w:rPr>
        <w:t xml:space="preserve">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"Priority Incident"</w:t>
      </w:r>
      <w:r>
        <w:rPr>
          <w:sz w:val="21"/>
          <w:szCs w:val="21"/>
        </w:rPr>
        <w:t xml:space="preserve"> means an incident affecting a Critical Service that prevents Client from processing shipments, for which the response and resolution targets in Schedule B, Part 2 apply.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2. Payment Terms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2.1</w:t>
      </w:r>
      <w:r>
        <w:rPr>
          <w:sz w:val="21"/>
          <w:szCs w:val="21"/>
        </w:rPr>
        <w:t xml:space="preserve"> Section 3.3 (Payment Terms) of the Agreement is </w:t>
      </w:r>
      <w:r>
        <w:rPr>
          <w:b/>
          <w:bCs/>
          <w:sz w:val="21"/>
          <w:szCs w:val="21"/>
        </w:rPr>
        <w:t xml:space="preserve">deleted and replaced</w:t>
      </w:r>
      <w:r>
        <w:rPr>
          <w:sz w:val="21"/>
          <w:szCs w:val="21"/>
        </w:rPr>
        <w:t xml:space="preserve"> with the following: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i/>
          <w:iCs/>
          <w:sz w:val="20"/>
          <w:szCs w:val="20"/>
        </w:rPr>
        <w:t xml:space="preserve">"</w:t>
      </w:r>
      <w:r>
        <w:rPr>
          <w:b/>
          <w:bCs/>
          <w:i/>
          <w:iCs/>
          <w:sz w:val="20"/>
          <w:szCs w:val="20"/>
        </w:rPr>
        <w:t xml:space="preserve">3.3 Payment Terms.</w:t>
      </w:r>
      <w:r>
        <w:rPr>
          <w:i/>
          <w:iCs/>
          <w:sz w:val="20"/>
          <w:szCs w:val="20"/>
        </w:rPr>
        <w:t xml:space="preserve"> Client shall pay each undisputed invoice within </w:t>
      </w:r>
      <w:r>
        <w:rPr>
          <w:b/>
          <w:bCs/>
          <w:i/>
          <w:iCs/>
          <w:sz w:val="20"/>
          <w:szCs w:val="20"/>
        </w:rPr>
        <w:t xml:space="preserve">forty-five (45) days</w:t>
      </w:r>
      <w:r>
        <w:rPr>
          <w:i/>
          <w:iCs/>
          <w:sz w:val="20"/>
          <w:szCs w:val="20"/>
        </w:rPr>
        <w:t xml:space="preserve"> of the invoice date."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2.2</w:t>
      </w:r>
      <w:r>
        <w:rPr>
          <w:sz w:val="21"/>
          <w:szCs w:val="21"/>
        </w:rPr>
        <w:t xml:space="preserve"> For the avoidance of doubt, the late payment interest rate in Section 3.4 of the Agreement is unchanged and remains at one and one-half percent (1.5%) per month.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3. Termination for Convenience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3.1</w:t>
      </w:r>
      <w:r>
        <w:rPr>
          <w:sz w:val="21"/>
          <w:szCs w:val="21"/>
        </w:rPr>
        <w:t xml:space="preserve"> Section 7.3 (Termination for Convenience) of the Agreement is </w:t>
      </w:r>
      <w:r>
        <w:rPr>
          <w:b/>
          <w:bCs/>
          <w:sz w:val="21"/>
          <w:szCs w:val="21"/>
        </w:rPr>
        <w:t xml:space="preserve">deleted and replaced</w:t>
      </w:r>
      <w:r>
        <w:rPr>
          <w:sz w:val="21"/>
          <w:szCs w:val="21"/>
        </w:rPr>
        <w:t xml:space="preserve"> with the following: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i/>
          <w:iCs/>
          <w:sz w:val="20"/>
          <w:szCs w:val="20"/>
        </w:rPr>
        <w:t xml:space="preserve">"</w:t>
      </w:r>
      <w:r>
        <w:rPr>
          <w:b/>
          <w:bCs/>
          <w:i/>
          <w:iCs/>
          <w:sz w:val="20"/>
          <w:szCs w:val="20"/>
        </w:rPr>
        <w:t xml:space="preserve">7.3 Termination for Convenience.</w:t>
      </w:r>
      <w:r>
        <w:rPr>
          <w:i/>
          <w:iCs/>
          <w:sz w:val="20"/>
          <w:szCs w:val="20"/>
        </w:rPr>
        <w:t xml:space="preserve"> Either Party may terminate this Agreement for convenience by giving the other Party not less than </w:t>
      </w:r>
      <w:r>
        <w:rPr>
          <w:b/>
          <w:bCs/>
          <w:i/>
          <w:iCs/>
          <w:sz w:val="20"/>
          <w:szCs w:val="20"/>
        </w:rPr>
        <w:t xml:space="preserve">thirty (30) days'</w:t>
      </w:r>
      <w:r>
        <w:rPr>
          <w:i/>
          <w:iCs/>
          <w:sz w:val="20"/>
          <w:szCs w:val="20"/>
        </w:rPr>
        <w:t xml:space="preserve"> prior written notice, provided that no such notice may be given during the first twelve (12) months of the Initial Term."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4. Cure Period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4.1</w:t>
      </w:r>
      <w:r>
        <w:rPr>
          <w:sz w:val="21"/>
          <w:szCs w:val="21"/>
        </w:rPr>
        <w:t xml:space="preserve"> Section 1.4 (Cure Period) of the Agreement is </w:t>
      </w:r>
      <w:r>
        <w:rPr>
          <w:b/>
          <w:bCs/>
          <w:sz w:val="21"/>
          <w:szCs w:val="21"/>
        </w:rPr>
        <w:t xml:space="preserve">deleted and replaced</w:t>
      </w:r>
      <w:r>
        <w:rPr>
          <w:sz w:val="21"/>
          <w:szCs w:val="21"/>
        </w:rPr>
        <w:t xml:space="preserve"> with the following:</w:t>
      </w:r>
    </w:p>
    <w:p>
      <w:pPr>
        <w:pBdr>
          <w:left w:val="single" w:color="12604A" w:sz="12" w:space="8"/>
        </w:pBdr>
        <w:spacing w:after="60" w:before="60"/>
        <w:ind w:left="420"/>
      </w:pPr>
      <w:r>
        <w:rPr>
          <w:i/>
          <w:iCs/>
          <w:sz w:val="20"/>
          <w:szCs w:val="20"/>
        </w:rPr>
        <w:t xml:space="preserve">"</w:t>
      </w:r>
      <w:r>
        <w:rPr>
          <w:b/>
          <w:bCs/>
          <w:i/>
          <w:iCs/>
          <w:sz w:val="20"/>
          <w:szCs w:val="20"/>
        </w:rPr>
        <w:t xml:space="preserve">1.4 'Cure Period'</w:t>
      </w:r>
      <w:r>
        <w:rPr>
          <w:i/>
          <w:iCs/>
          <w:sz w:val="20"/>
          <w:szCs w:val="20"/>
        </w:rPr>
        <w:t xml:space="preserve"> means a period of </w:t>
      </w:r>
      <w:r>
        <w:rPr>
          <w:b/>
          <w:bCs/>
          <w:i/>
          <w:iCs/>
          <w:sz w:val="20"/>
          <w:szCs w:val="20"/>
        </w:rPr>
        <w:t xml:space="preserve">forty-five (45) days</w:t>
      </w:r>
      <w:r>
        <w:rPr>
          <w:i/>
          <w:iCs/>
          <w:sz w:val="20"/>
          <w:szCs w:val="20"/>
        </w:rPr>
        <w:t xml:space="preserve"> from the date a Party receives written notice of a material breach, within which that Party may remedy the breach."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4.2</w:t>
      </w:r>
      <w:r>
        <w:rPr>
          <w:sz w:val="21"/>
          <w:szCs w:val="21"/>
        </w:rPr>
        <w:t xml:space="preserve"> For the avoidance of doubt, where the Agreement provides that a Cure Period does not apply — including upon a Qualifying Event under Section 4.3 of the Agreement — that provision is unchanged.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5. Service Credits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5.1</w:t>
      </w:r>
      <w:r>
        <w:rPr>
          <w:sz w:val="21"/>
          <w:szCs w:val="21"/>
        </w:rPr>
        <w:t xml:space="preserve"> Schedule B, Part 3 (Service Credits) of the Agreement is amended by increasing the maximum monthly service credit from five percent (5%) to </w:t>
      </w:r>
      <w:r>
        <w:rPr>
          <w:b/>
          <w:bCs/>
          <w:sz w:val="21"/>
          <w:szCs w:val="21"/>
        </w:rPr>
        <w:t xml:space="preserve">ten percent (10%)</w:t>
      </w:r>
      <w:r>
        <w:rPr>
          <w:sz w:val="21"/>
          <w:szCs w:val="21"/>
        </w:rPr>
        <w:t xml:space="preserve"> of the monthly fees for the affected Service.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6. Audit Frequency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6.1</w:t>
      </w:r>
      <w:r>
        <w:rPr>
          <w:sz w:val="21"/>
          <w:szCs w:val="21"/>
        </w:rPr>
        <w:t xml:space="preserve"> Section 11.1 of the Agreement is amended by replacing "once per calendar year" with "</w:t>
      </w:r>
      <w:r>
        <w:rPr>
          <w:b/>
          <w:bCs/>
          <w:sz w:val="21"/>
          <w:szCs w:val="21"/>
        </w:rPr>
        <w:t xml:space="preserve">twice per calendar year</w:t>
      </w:r>
      <w:r>
        <w:rPr>
          <w:sz w:val="21"/>
          <w:szCs w:val="21"/>
        </w:rPr>
        <w:t xml:space="preserve">", provided that the second audit in any calendar year shall be at Client's sole cost regardless of its findings.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Section 7. No Other Changes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7.1</w:t>
      </w:r>
      <w:r>
        <w:rPr>
          <w:sz w:val="21"/>
          <w:szCs w:val="21"/>
        </w:rPr>
        <w:t xml:space="preserve"> Except as expressly amended by this Amendment, all terms and conditions of the Agreement remain in full force and effect.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7.2</w:t>
      </w:r>
      <w:r>
        <w:rPr>
          <w:sz w:val="21"/>
          <w:szCs w:val="21"/>
        </w:rPr>
        <w:t xml:space="preserve"> In the event of a conflict between this Amendment and the Agreement, this Amendment governs in respect of the provisions it amends.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EXECUTED</w:t>
      </w:r>
      <w:r>
        <w:rPr>
          <w:sz w:val="21"/>
          <w:szCs w:val="21"/>
        </w:rPr>
        <w:t xml:space="preserve"> by the Parties on 1 April 2026.</w:t>
      </w:r>
    </w:p>
    <w:p>
      <w:pPr>
        <w:spacing w:after="120" w:before="60" w:line="280"/>
      </w:pPr>
      <w:r>
        <w:rPr>
          <w:sz w:val="21"/>
          <w:szCs w:val="21"/>
        </w:rPr>
        <w:t xml:space="preserve">For and on behalf of </w:t>
      </w:r>
      <w:r>
        <w:rPr>
          <w:b/>
          <w:bCs/>
          <w:sz w:val="21"/>
          <w:szCs w:val="21"/>
        </w:rPr>
        <w:t xml:space="preserve">Soft Suave Technologies Private Limited</w:t>
      </w:r>
      <w:r>
        <w:rPr>
          <w:sz w:val="21"/>
          <w:szCs w:val="21"/>
        </w:rPr>
        <w:t xml:space="preserve"> Name: R. Anand — Title: Director</w:t>
      </w:r>
    </w:p>
    <w:p>
      <w:pPr>
        <w:spacing w:after="120" w:before="60" w:line="280"/>
      </w:pPr>
      <w:r>
        <w:rPr>
          <w:sz w:val="21"/>
          <w:szCs w:val="21"/>
        </w:rPr>
        <w:t xml:space="preserve">For and on behalf of </w:t>
      </w:r>
      <w:r>
        <w:rPr>
          <w:b/>
          <w:bCs/>
          <w:sz w:val="21"/>
          <w:szCs w:val="21"/>
        </w:rPr>
        <w:t xml:space="preserve">Northwind Logistics Private Limited</w:t>
      </w:r>
      <w:r>
        <w:rPr>
          <w:sz w:val="21"/>
          <w:szCs w:val="21"/>
        </w:rPr>
        <w:t xml:space="preserve"> Name: Meera Krishnan — Title: Chief Operating Officer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 Suave AI Engineering League</dc:creator>
  <dc:description>Shared contract corpus — training evaluation material</dc:description>
  <cp:lastModifiedBy>Un-named</cp:lastModifiedBy>
  <cp:revision>1</cp:revision>
  <dcterms:created xsi:type="dcterms:W3CDTF">2026-10-05T08:32:03.279Z</dcterms:created>
  <dcterms:modified xsi:type="dcterms:W3CDTF">2026-10-05T08:32:03.279Z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