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SCHEDULES TO MASTER SERVICES AGREEMENT MSA-2026-014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Document No.:</w:t>
      </w:r>
      <w:r>
        <w:rPr>
          <w:sz w:val="21"/>
          <w:szCs w:val="21"/>
        </w:rPr>
        <w:t xml:space="preserve"> SCH-2026-014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Forms part of:</w:t>
      </w:r>
      <w:r>
        <w:rPr>
          <w:sz w:val="21"/>
          <w:szCs w:val="21"/>
        </w:rPr>
        <w:t xml:space="preserve"> MSA-2026-014 (Northwind Logistics Private Limited)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Counterparty:</w:t>
      </w:r>
      <w:r>
        <w:rPr>
          <w:sz w:val="21"/>
          <w:szCs w:val="21"/>
        </w:rPr>
        <w:t xml:space="preserve"> Northwind Logistics Private Limited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Effective Date:</w:t>
      </w:r>
      <w:r>
        <w:rPr>
          <w:sz w:val="21"/>
          <w:szCs w:val="21"/>
        </w:rPr>
        <w:t xml:space="preserve"> 14 January 2026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Document Version:</w:t>
      </w:r>
      <w:r>
        <w:rPr>
          <w:sz w:val="21"/>
          <w:szCs w:val="21"/>
        </w:rPr>
        <w:t xml:space="preserve"> v1.0</w:t>
      </w:r>
    </w:p>
    <w:p>
      <w:pPr>
        <w:spacing w:after="120" w:before="60" w:line="280"/>
      </w:pPr>
      <w:r>
        <w:rPr>
          <w:b/>
          <w:bCs/>
          <w:sz w:val="21"/>
          <w:szCs w:val="21"/>
        </w:rPr>
        <w:t xml:space="preserve">Status:</w:t>
      </w:r>
      <w:r>
        <w:rPr>
          <w:sz w:val="21"/>
          <w:szCs w:val="21"/>
        </w:rPr>
        <w:t xml:space="preserve"> Executed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Schedule A — Description of Services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1 — Services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Service ID</w:t>
            </w:r>
          </w:p>
        </w:tc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Shipment Tracking Platform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Hosting, maintenance and support of the Client shipment tracking application.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 Integration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 and maintenance of integrations with third-party carrier APIs.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Operation of the Client analytics data warehouse and nightly ETL pipelines.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Desk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2 and Tier 3 application support during Business Hours.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2 — Critical Service Designation</w:t>
      </w:r>
    </w:p>
    <w:p>
      <w:pPr>
        <w:spacing w:after="120" w:before="60" w:line="280"/>
      </w:pPr>
      <w:r>
        <w:rPr>
          <w:sz w:val="21"/>
          <w:szCs w:val="21"/>
        </w:rPr>
        <w:t xml:space="preserve">For the purposes of the definition of "Critical Service" introduced by Amendment No. 1, the following Services are designated </w:t>
      </w:r>
      <w:r>
        <w:rPr>
          <w:b/>
          <w:bCs/>
          <w:sz w:val="21"/>
          <w:szCs w:val="21"/>
        </w:rPr>
        <w:t xml:space="preserve">Critical</w:t>
      </w:r>
      <w:r>
        <w:rPr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1"/>
          <w:szCs w:val="21"/>
        </w:rPr>
        <w:t xml:space="preserve">SVC-01 — Shipment Tracking Platform</w:t>
      </w:r>
      <w:r>
        <w:rPr>
          <w:sz w:val="21"/>
          <w:szCs w:val="21"/>
        </w:rPr>
        <w:t xml:space="preserve"> (Critical)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1"/>
          <w:szCs w:val="21"/>
        </w:rPr>
        <w:t xml:space="preserve">SVC-02 — Carrier Integration</w:t>
      </w:r>
      <w:r>
        <w:rPr>
          <w:sz w:val="21"/>
          <w:szCs w:val="21"/>
        </w:rPr>
        <w:t xml:space="preserve"> (Critical)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SVC-03 — Data Warehouse (Non-critical)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SVC-04 — Support Desk (Non-critical)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Schedule B — Fees and Service Levels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1 — Fees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Service ID</w:t>
            </w:r>
          </w:p>
        </w:tc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Fee Basis</w:t>
            </w:r>
          </w:p>
        </w:tc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Monthly Fee (USD)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 monthly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42,000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 monthly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18,500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 monthly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11,000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Per-seat (12 seats)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9,600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Total monthly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81,100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Annual contract value at the Effective Date: </w:t>
      </w:r>
      <w:r>
        <w:rPr>
          <w:b/>
          <w:bCs/>
          <w:sz w:val="21"/>
          <w:szCs w:val="21"/>
        </w:rPr>
        <w:t xml:space="preserve">USD 973,200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2 — Service Levels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Service ID</w:t>
            </w:r>
          </w:p>
        </w:tc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Availability Target</w:t>
            </w:r>
          </w:p>
        </w:tc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Response Time (Priority Incident)</w:t>
            </w:r>
          </w:p>
        </w:tc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Resolution Time (Priority Incident)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SVC-01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99.9% monthly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minutes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SVC-02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99.5% monthly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hour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hours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SVC-03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99.0% monthly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Business Hours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Business Days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SVC-04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Business Hours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Business Day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"Business Hours" means 09:00 to 18:00 India Standard Time on a Business Day.</w:t>
      </w:r>
    </w:p>
    <w:p>
      <w:pPr>
        <w:spacing w:after="120" w:before="60" w:line="280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Service Failure</w:t>
      </w:r>
      <w:r>
        <w:rPr>
          <w:sz w:val="21"/>
          <w:szCs w:val="21"/>
        </w:rPr>
        <w:t xml:space="preserve"> occurs where Provider fails to meet any target in this Part 2 for a Service in a calendar month. Three (3) Service Failures within any rolling thirty (30) day period constitute a </w:t>
      </w:r>
      <w:r>
        <w:rPr>
          <w:b/>
          <w:bCs/>
          <w:sz w:val="21"/>
          <w:szCs w:val="21"/>
        </w:rPr>
        <w:t xml:space="preserve">Qualifying Event</w:t>
      </w:r>
      <w:r>
        <w:rPr>
          <w:sz w:val="21"/>
          <w:szCs w:val="21"/>
        </w:rPr>
        <w:t xml:space="preserve"> under Section 1.6 of the Agreement.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3 — Service Credits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Availability Achieved (SVC-01)</w:t>
            </w:r>
          </w:p>
        </w:tc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Service Credit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99.9%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99.0% – 99.89%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2% of monthly fee for that Service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98.0% – 98.99%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5% of monthly fee for that Service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98.0%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 of monthly fee for that Service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Maximum aggregate service credit in any calendar month: </w:t>
      </w:r>
      <w:r>
        <w:rPr>
          <w:b/>
          <w:bCs/>
          <w:sz w:val="21"/>
          <w:szCs w:val="21"/>
        </w:rPr>
        <w:t xml:space="preserve">ten percent (10%)</w:t>
      </w:r>
      <w:r>
        <w:rPr>
          <w:sz w:val="21"/>
          <w:szCs w:val="21"/>
        </w:rPr>
        <w:t xml:space="preserve"> of the monthly fees for the affected Service. </w:t>
      </w:r>
      <w:r>
        <w:rPr>
          <w:i/>
          <w:iCs/>
          <w:sz w:val="21"/>
          <w:szCs w:val="21"/>
        </w:rPr>
        <w:t xml:space="preserve">(Increased from 5% by Amendment No. 1, Section 5.)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Schedule B-2 — Notice and Escalation Matrix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1 — Escalation Contacts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Escalation Contact (Provider)</w:t>
            </w:r>
          </w:p>
        </w:tc>
        <w:tc>
          <w:tcPr>
            <w:tcW w:type="dxa" w:w="225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Response Commitment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1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Failure logged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Duty Support Manager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2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Unresolved after 4 hours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 of Delivery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Business Hours</w:t>
            </w:r>
          </w:p>
        </w:tc>
      </w:tr>
      <w:tr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3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Qualifying Event declared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Director, Service Operations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Business Day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2 — Breach Notification Deadlines</w:t>
      </w:r>
    </w:p>
    <w:p>
      <w:pPr>
        <w:spacing w:after="120" w:before="60" w:line="280"/>
      </w:pPr>
      <w:r>
        <w:rPr>
          <w:sz w:val="21"/>
          <w:szCs w:val="21"/>
        </w:rPr>
        <w:t xml:space="preserve">For the purposes of </w:t>
      </w:r>
      <w:r>
        <w:rPr>
          <w:b/>
          <w:bCs/>
          <w:sz w:val="21"/>
          <w:szCs w:val="21"/>
        </w:rPr>
        <w:t xml:space="preserve">Section 7.6</w:t>
      </w:r>
      <w:r>
        <w:rPr>
          <w:sz w:val="21"/>
          <w:szCs w:val="21"/>
        </w:rPr>
        <w:t xml:space="preserve"> of the Agreement (inserted by Amendment No. 2, Section 3), a Party intending to terminate for cause must give notice of the material breach within the following period after becoming aware of it: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Breach Category</w:t>
            </w:r>
          </w:p>
        </w:tc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Notice Deadline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breach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calendar days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Level breach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15 Business Days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Confidentiality breach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Business Days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protection breach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Business Days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other material breaches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calendar days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Failure to give notice within the applicable period waives the right to terminate in respect of that breach.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Part 3 — Combined Cure and Notice Sequence</w:t>
      </w:r>
    </w:p>
    <w:p>
      <w:pPr>
        <w:spacing w:after="120" w:before="60" w:line="280"/>
      </w:pPr>
      <w:r>
        <w:rPr>
          <w:sz w:val="21"/>
          <w:szCs w:val="21"/>
        </w:rPr>
        <w:t xml:space="preserve">Where a Party terminates for cause following a Service Level breach, the full sequence is:</w:t>
      </w:r>
    </w:p>
    <w:p>
      <w:pPr>
        <w:spacing w:after="120" w:before="60" w:line="280"/>
      </w:pPr>
      <w:r>
        <w:rPr>
          <w:sz w:val="21"/>
          <w:szCs w:val="21"/>
        </w:rPr>
        <w:t xml:space="preserve">1. Notice of material breach must be given within </w:t>
      </w:r>
      <w:r>
        <w:rPr>
          <w:b/>
          <w:bCs/>
          <w:sz w:val="21"/>
          <w:szCs w:val="21"/>
        </w:rPr>
        <w:t xml:space="preserve">15 Business Days</w:t>
      </w:r>
      <w:r>
        <w:rPr>
          <w:sz w:val="21"/>
          <w:szCs w:val="21"/>
        </w:rPr>
        <w:t xml:space="preserve"> of awareness (Schedule B-2, Part 2). 2. The breaching Party then has the </w:t>
      </w:r>
      <w:r>
        <w:rPr>
          <w:b/>
          <w:bCs/>
          <w:sz w:val="21"/>
          <w:szCs w:val="21"/>
        </w:rPr>
        <w:t xml:space="preserve">Cure Period</w:t>
      </w:r>
      <w:r>
        <w:rPr>
          <w:sz w:val="21"/>
          <w:szCs w:val="21"/>
        </w:rPr>
        <w:t xml:space="preserve"> to remedy — </w:t>
      </w:r>
      <w:r>
        <w:rPr>
          <w:b/>
          <w:bCs/>
          <w:sz w:val="21"/>
          <w:szCs w:val="21"/>
        </w:rPr>
        <w:t xml:space="preserve">45 days</w:t>
      </w:r>
      <w:r>
        <w:rPr>
          <w:sz w:val="21"/>
          <w:szCs w:val="21"/>
        </w:rPr>
        <w:t xml:space="preserve"> as amended by Amendment No. 1, Section 4. 3. If unremedied at the end of the Cure Period, the non-breaching Party may terminate with immediate effect under Section 7.4(a).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Schedule C — Holiday Calendar</w:t>
      </w:r>
    </w:p>
    <w:p>
      <w:pPr>
        <w:spacing w:after="120" w:before="60" w:line="280"/>
      </w:pPr>
      <w:r>
        <w:rPr>
          <w:sz w:val="21"/>
          <w:szCs w:val="21"/>
        </w:rPr>
        <w:t xml:space="preserve">Public holidays observed for the purposes of the definition of "</w:t>
      </w:r>
      <w:r>
        <w:rPr>
          <w:b/>
          <w:bCs/>
          <w:sz w:val="21"/>
          <w:szCs w:val="21"/>
        </w:rPr>
        <w:t xml:space="preserve">Business Day</w:t>
      </w:r>
      <w:r>
        <w:rPr>
          <w:sz w:val="21"/>
          <w:szCs w:val="21"/>
        </w:rPr>
        <w:t xml:space="preserve">" in Section 1.2 of the Agreement. Days listed below are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Business Days.</w:t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Calendar Year 2026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Holiday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Year's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January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Pongal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January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April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Good Friday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May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August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Independence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October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Gandhi Jayanti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October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Deepavali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December 2026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Christmas Day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60"/>
        <w:jc w:val="left"/>
      </w:pPr>
      <w:r>
        <w:rPr>
          <w:b/>
          <w:bCs/>
          <w:color w:val="12332A"/>
          <w:sz w:val="26"/>
          <w:szCs w:val="26"/>
        </w:rPr>
        <w:t xml:space="preserve">Calendar Year 2027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Holiday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January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Year's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January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Pongal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January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Republic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March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Good Friday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May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August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Independence Day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October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Gandhi Jayanti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November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Deepavali</w:t>
            </w:r>
          </w:p>
        </w:tc>
      </w:tr>
      <w:tr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December 2027</w:t>
            </w:r>
          </w:p>
        </w:tc>
        <w:tc>
          <w:tcPr>
            <w:tcW w:type="dxa" w:w="4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Christmas Day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Where a holiday listed above falls on a Saturday or Sunday, no substitute Business Day is granted.</w:t>
      </w:r>
    </w:p>
    <w:p>
      <w:pPr>
        <w:pBdr>
          <w:bottom w:val="single" w:color="C8D0CA" w:sz="6" w:space="1"/>
        </w:pBdr>
        <w:spacing w:after="120" w:before="120"/>
      </w:pPr>
      <w:r>
        <w:t xml:space="preserve"/>
      </w:r>
    </w:p>
    <w:p>
      <w:pPr>
        <w:pStyle w:val="Heading1"/>
        <w:spacing w:after="140" w:before="240"/>
        <w:jc w:val="center"/>
      </w:pPr>
      <w:r>
        <w:rPr>
          <w:b/>
          <w:bCs/>
          <w:color w:val="12332A"/>
          <w:sz w:val="32"/>
          <w:szCs w:val="32"/>
        </w:rPr>
        <w:t xml:space="preserve">Schedule D — Notice Addresses</w:t>
      </w:r>
    </w:p>
    <w:tbl>
      <w:tblPr>
        <w:tblW w:type="dxa" w:w="9000"/>
        <w:tblBorders>
          <w:top w:val="single" w:color="AAB3AD" w:sz="2"/>
          <w:left w:val="single" w:color="AAB3AD" w:sz="2"/>
          <w:bottom w:val="single" w:color="AAB3AD" w:sz="2"/>
          <w:right w:val="single" w:color="AAB3AD" w:sz="2"/>
          <w:insideH w:val="single" w:color="AAB3AD" w:sz="2"/>
          <w:insideV w:val="single" w:color="AAB3AD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Party</w:t>
            </w:r>
          </w:p>
        </w:tc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Postal Address (courier)</w:t>
            </w:r>
          </w:p>
        </w:tc>
        <w:tc>
          <w:tcPr>
            <w:tcW w:type="dxa" w:w="3000"/>
            <w:shd w:fill="E8EC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Electronic Mail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 Suave Technologies Private Limited, Tidel Park, Chennai 600113, Tamil Nadu, India — Attn: Legal Department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legal@softsuave.example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Northwind Logistics Private Limited, Embassy Tech Village, Bengaluru 560103, Karnataka, India — Attn: Company Secretary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contracts@northwind-logistics.example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280"/>
      </w:pPr>
      <w:r>
        <w:rPr>
          <w:sz w:val="21"/>
          <w:szCs w:val="21"/>
        </w:rPr>
        <w:t xml:space="preserve">A Party may change its notice address by giving ten (10) Business Days' written notice to the other Party in accordance with Section 14 of the Agreement.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 Suave AI Engineering League</dc:creator>
  <dc:description>Shared contract corpus — training evaluation material</dc:description>
  <cp:lastModifiedBy>Un-named</cp:lastModifiedBy>
  <cp:revision>1</cp:revision>
  <dcterms:created xsi:type="dcterms:W3CDTF">2026-10-05T08:32:03.367Z</dcterms:created>
  <dcterms:modified xsi:type="dcterms:W3CDTF">2026-10-05T08:32:03.367Z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