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  <w:jc w:val="center"/>
      </w:pPr>
      <w:r>
        <w:rPr>
          <w:b/>
          <w:bCs/>
          <w:color w:val="12332A"/>
          <w:sz w:val="32"/>
          <w:szCs w:val="32"/>
        </w:rPr>
        <w:t xml:space="preserve">MASTER SERVICES AGREEMENT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Agreement No.:</w:t>
      </w:r>
      <w:r>
        <w:rPr>
          <w:sz w:val="21"/>
          <w:szCs w:val="21"/>
        </w:rPr>
        <w:t xml:space="preserve"> MSA-2026-022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Counterparty:</w:t>
      </w:r>
      <w:r>
        <w:rPr>
          <w:sz w:val="21"/>
          <w:szCs w:val="21"/>
        </w:rPr>
        <w:t xml:space="preserve"> Vertex Retail Solutions Limited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Provider:</w:t>
      </w:r>
      <w:r>
        <w:rPr>
          <w:sz w:val="21"/>
          <w:szCs w:val="21"/>
        </w:rPr>
        <w:t xml:space="preserve"> Soft Suave Technologies Private Limited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Effective Date:</w:t>
      </w:r>
      <w:r>
        <w:rPr>
          <w:sz w:val="21"/>
          <w:szCs w:val="21"/>
        </w:rPr>
        <w:t xml:space="preserve"> 3 March 2026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Document Version:</w:t>
      </w:r>
      <w:r>
        <w:rPr>
          <w:sz w:val="21"/>
          <w:szCs w:val="21"/>
        </w:rPr>
        <w:t xml:space="preserve"> v1.0 (Original — no amendments)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Status:</w:t>
      </w:r>
      <w:r>
        <w:rPr>
          <w:sz w:val="21"/>
          <w:szCs w:val="21"/>
        </w:rPr>
        <w:t xml:space="preserve"> Executed</w:t>
      </w:r>
    </w:p>
    <w:p>
      <w:pPr>
        <w:pBdr>
          <w:left w:val="single" w:color="12604A" w:sz="12" w:space="8"/>
        </w:pBdr>
        <w:spacing w:after="60" w:before="60"/>
        <w:ind w:left="420"/>
      </w:pPr>
      <w:r>
        <w:rPr>
          <w:b/>
          <w:bCs/>
          <w:i/>
          <w:iCs/>
          <w:sz w:val="20"/>
          <w:szCs w:val="20"/>
        </w:rPr>
        <w:t xml:space="preserve">Note for readers and retrieval systems:</w:t>
      </w:r>
      <w:r>
        <w:rPr>
          <w:i/>
          <w:iCs/>
          <w:sz w:val="20"/>
          <w:szCs w:val="20"/>
        </w:rPr>
        <w:t xml:space="preserve"> this Agreement uses the same section</w:t>
      </w:r>
    </w:p>
    <w:p>
      <w:pPr>
        <w:pBdr>
          <w:left w:val="single" w:color="12604A" w:sz="12" w:space="8"/>
        </w:pBdr>
        <w:spacing w:after="60" w:before="60"/>
        <w:ind w:left="420"/>
      </w:pPr>
      <w:r>
        <w:rPr>
          <w:i/>
          <w:iCs/>
          <w:sz w:val="20"/>
          <w:szCs w:val="20"/>
        </w:rPr>
        <w:t xml:space="preserve">numbering as MSA-2026-014 (Northwind) but contains </w:t>
      </w:r>
      <w:r>
        <w:rPr>
          <w:b/>
          <w:bCs/>
          <w:i/>
          <w:iCs/>
          <w:sz w:val="20"/>
          <w:szCs w:val="20"/>
        </w:rPr>
        <w:t xml:space="preserve">different commercial terms</w:t>
      </w:r>
      <w:r>
        <w:rPr>
          <w:i/>
          <w:iCs/>
          <w:sz w:val="20"/>
          <w:szCs w:val="20"/>
        </w:rPr>
        <w:t xml:space="preserve">.</w:t>
      </w:r>
    </w:p>
    <w:p>
      <w:pPr>
        <w:pBdr>
          <w:left w:val="single" w:color="12604A" w:sz="12" w:space="8"/>
        </w:pBdr>
        <w:spacing w:after="60" w:before="60"/>
        <w:ind w:left="420"/>
      </w:pPr>
      <w:r>
        <w:rPr>
          <w:i/>
          <w:iCs/>
          <w:sz w:val="20"/>
          <w:szCs w:val="20"/>
        </w:rPr>
        <w:t xml:space="preserve">Section 8.3 of this Agreement is not the same as Section 8.3 of MSA-2026-014.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spacing w:after="120" w:before="60" w:line="280"/>
      </w:pPr>
      <w:r>
        <w:rPr>
          <w:sz w:val="21"/>
          <w:szCs w:val="21"/>
        </w:rPr>
        <w:t xml:space="preserve">This Master Services Agreement (the "</w:t>
      </w:r>
      <w:r>
        <w:rPr>
          <w:b/>
          <w:bCs/>
          <w:sz w:val="21"/>
          <w:szCs w:val="21"/>
        </w:rPr>
        <w:t xml:space="preserve">Agreement</w:t>
      </w:r>
      <w:r>
        <w:rPr>
          <w:sz w:val="21"/>
          <w:szCs w:val="21"/>
        </w:rPr>
        <w:t xml:space="preserve">") is entered into as of the Effective Date set out above by and between </w:t>
      </w:r>
      <w:r>
        <w:rPr>
          <w:b/>
          <w:bCs/>
          <w:sz w:val="21"/>
          <w:szCs w:val="21"/>
        </w:rPr>
        <w:t xml:space="preserve">Soft Suave Technologies Private Limited</w:t>
      </w:r>
      <w:r>
        <w:rPr>
          <w:sz w:val="21"/>
          <w:szCs w:val="21"/>
        </w:rPr>
        <w:t xml:space="preserve"> ("</w:t>
      </w:r>
      <w:r>
        <w:rPr>
          <w:b/>
          <w:bCs/>
          <w:sz w:val="21"/>
          <w:szCs w:val="21"/>
        </w:rPr>
        <w:t xml:space="preserve">Provider</w:t>
      </w:r>
      <w:r>
        <w:rPr>
          <w:sz w:val="21"/>
          <w:szCs w:val="21"/>
        </w:rPr>
        <w:t xml:space="preserve">") and </w:t>
      </w:r>
      <w:r>
        <w:rPr>
          <w:b/>
          <w:bCs/>
          <w:sz w:val="21"/>
          <w:szCs w:val="21"/>
        </w:rPr>
        <w:t xml:space="preserve">Vertex Retail Solutions Limited</w:t>
      </w:r>
      <w:r>
        <w:rPr>
          <w:sz w:val="21"/>
          <w:szCs w:val="21"/>
        </w:rPr>
        <w:t xml:space="preserve">, a company incorporated under the laws of Singapore with its registered office at 1 Raffles Place, Singapore ("</w:t>
      </w:r>
      <w:r>
        <w:rPr>
          <w:b/>
          <w:bCs/>
          <w:sz w:val="21"/>
          <w:szCs w:val="21"/>
        </w:rPr>
        <w:t xml:space="preserve">Client</w:t>
      </w:r>
      <w:r>
        <w:rPr>
          <w:sz w:val="21"/>
          <w:szCs w:val="21"/>
        </w:rPr>
        <w:t xml:space="preserve">").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Section 1. Definitions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1.1 "Affiliate"</w:t>
      </w:r>
      <w:r>
        <w:rPr>
          <w:sz w:val="21"/>
          <w:szCs w:val="21"/>
        </w:rPr>
        <w:t xml:space="preserve"> has the meaning given in Section 1.1 of the standard Provider terms: any entity controlling, controlled by, or under common control with a Party, where control means ownership of more than fifty percent (50%) of voting securities.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1.2 "Business Day"</w:t>
      </w:r>
      <w:r>
        <w:rPr>
          <w:sz w:val="21"/>
          <w:szCs w:val="21"/>
        </w:rPr>
        <w:t xml:space="preserve"> means any day other than a Saturday, a Sunday, or a public holiday observed in </w:t>
      </w:r>
      <w:r>
        <w:rPr>
          <w:b/>
          <w:bCs/>
          <w:sz w:val="21"/>
          <w:szCs w:val="21"/>
        </w:rPr>
        <w:t xml:space="preserve">Singapore</w:t>
      </w:r>
      <w:r>
        <w:rPr>
          <w:sz w:val="21"/>
          <w:szCs w:val="21"/>
        </w:rPr>
        <w:t xml:space="preserve">. This Agreement does not incorporate a separate holiday calendar schedule.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1.3 "Confidential Information"</w:t>
      </w:r>
      <w:r>
        <w:rPr>
          <w:sz w:val="21"/>
          <w:szCs w:val="21"/>
        </w:rPr>
        <w:t xml:space="preserve"> means all non-public information disclosed by one Party to the other that is designated as confidential or that a reasonable person would understand to be confidential.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1.4 "Cure Period"</w:t>
      </w:r>
      <w:r>
        <w:rPr>
          <w:sz w:val="21"/>
          <w:szCs w:val="21"/>
        </w:rPr>
        <w:t xml:space="preserve"> means a period of </w:t>
      </w:r>
      <w:r>
        <w:rPr>
          <w:b/>
          <w:bCs/>
          <w:sz w:val="21"/>
          <w:szCs w:val="21"/>
        </w:rPr>
        <w:t xml:space="preserve">twenty (20) days</w:t>
      </w:r>
      <w:r>
        <w:rPr>
          <w:sz w:val="21"/>
          <w:szCs w:val="21"/>
        </w:rPr>
        <w:t xml:space="preserve"> from the date a Party receives written notice of a material breach, within which that Party may remedy the breach.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1.5 "Deliverable"</w:t>
      </w:r>
      <w:r>
        <w:rPr>
          <w:sz w:val="21"/>
          <w:szCs w:val="21"/>
        </w:rPr>
        <w:t xml:space="preserve"> means any work product, document, software, report, or other material that Provider is required to deliver to Client under a Statement of Work.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1.6 "Services"</w:t>
      </w:r>
      <w:r>
        <w:rPr>
          <w:sz w:val="21"/>
          <w:szCs w:val="21"/>
        </w:rPr>
        <w:t xml:space="preserve"> means the services described in Schedule A to this Agreement.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Section 2. Scope of Services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2.1</w:t>
      </w:r>
      <w:r>
        <w:rPr>
          <w:sz w:val="21"/>
          <w:szCs w:val="21"/>
        </w:rPr>
        <w:t xml:space="preserve"> Provider shall perform the Services described in Schedule A in accordance with the Service Levels set out in Schedule B to this Agreement.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2.2</w:t>
      </w:r>
      <w:r>
        <w:rPr>
          <w:sz w:val="21"/>
          <w:szCs w:val="21"/>
        </w:rPr>
        <w:t xml:space="preserve"> In the event of a conflict between a Statement of Work and this Agreement, this Agreement prevails.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Section 3. Fees and Payment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3.1 Fees.</w:t>
      </w:r>
      <w:r>
        <w:rPr>
          <w:sz w:val="21"/>
          <w:szCs w:val="21"/>
        </w:rPr>
        <w:t xml:space="preserve"> Client shall pay Provider the fees set out in Schedule B to this Agreement. Fees are exclusive of applicable taxes.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3.2 Invoicing.</w:t>
      </w:r>
      <w:r>
        <w:rPr>
          <w:sz w:val="21"/>
          <w:szCs w:val="21"/>
        </w:rPr>
        <w:t xml:space="preserve"> Provider shall invoice Client monthly in arrears.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3.3 Payment Terms.</w:t>
      </w:r>
      <w:r>
        <w:rPr>
          <w:sz w:val="21"/>
          <w:szCs w:val="21"/>
        </w:rPr>
        <w:t xml:space="preserve"> Client shall pay each undisputed invoice within </w:t>
      </w:r>
      <w:r>
        <w:rPr>
          <w:b/>
          <w:bCs/>
          <w:sz w:val="21"/>
          <w:szCs w:val="21"/>
        </w:rPr>
        <w:t xml:space="preserve">sixty (60) days</w:t>
      </w:r>
      <w:r>
        <w:rPr>
          <w:sz w:val="21"/>
          <w:szCs w:val="21"/>
        </w:rPr>
        <w:t xml:space="preserve"> of the invoice date.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3.4 Late Payment.</w:t>
      </w:r>
      <w:r>
        <w:rPr>
          <w:sz w:val="21"/>
          <w:szCs w:val="21"/>
        </w:rPr>
        <w:t xml:space="preserve"> Any undisputed amount not paid when due shall accrue interest at a rate of </w:t>
      </w:r>
      <w:r>
        <w:rPr>
          <w:b/>
          <w:bCs/>
          <w:sz w:val="21"/>
          <w:szCs w:val="21"/>
        </w:rPr>
        <w:t xml:space="preserve">one percent (1.0%) per month</w:t>
      </w:r>
      <w:r>
        <w:rPr>
          <w:sz w:val="21"/>
          <w:szCs w:val="21"/>
        </w:rPr>
        <w:t xml:space="preserve">, or the maximum rate permitted by applicable law, whichever is lower.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3.5 Disputed Amounts.</w:t>
      </w:r>
      <w:r>
        <w:rPr>
          <w:sz w:val="21"/>
          <w:szCs w:val="21"/>
        </w:rPr>
        <w:t xml:space="preserve"> Client may withhold payment of any amount it disputes in good faith, provided Client notifies Provider within ten (10) Business Days of the invoice date.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3.6 Fee Increases.</w:t>
      </w:r>
      <w:r>
        <w:rPr>
          <w:sz w:val="21"/>
          <w:szCs w:val="21"/>
        </w:rPr>
        <w:t xml:space="preserve"> Provider may increase fees by not more than </w:t>
      </w:r>
      <w:r>
        <w:rPr>
          <w:b/>
          <w:bCs/>
          <w:sz w:val="21"/>
          <w:szCs w:val="21"/>
        </w:rPr>
        <w:t xml:space="preserve">three percent (3%)</w:t>
      </w:r>
      <w:r>
        <w:rPr>
          <w:sz w:val="21"/>
          <w:szCs w:val="21"/>
        </w:rPr>
        <w:t xml:space="preserve"> per annum on each anniversary of the Effective Date, on not less than ninety (90) days' prior written notice.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Section 5. Confidentiality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5.1</w:t>
      </w:r>
      <w:r>
        <w:rPr>
          <w:sz w:val="21"/>
          <w:szCs w:val="21"/>
        </w:rPr>
        <w:t xml:space="preserve"> Each Party shall hold the other Party's Confidential Information in confidence and shall use a </w:t>
      </w:r>
      <w:r>
        <w:rPr>
          <w:b/>
          <w:bCs/>
          <w:sz w:val="21"/>
          <w:szCs w:val="21"/>
        </w:rPr>
        <w:t xml:space="preserve">reasonable degree of care</w:t>
      </w:r>
      <w:r>
        <w:rPr>
          <w:sz w:val="21"/>
          <w:szCs w:val="21"/>
        </w:rPr>
        <w:t xml:space="preserve"> to prevent its unauthorised disclosure.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5.2</w:t>
      </w:r>
      <w:r>
        <w:rPr>
          <w:sz w:val="21"/>
          <w:szCs w:val="21"/>
        </w:rPr>
        <w:t xml:space="preserve"> Neither Party shall disclose the other Party's Confidential Information except to employees, Affiliates, and professional advisers who have a need to know.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5.3 Survival.</w:t>
      </w:r>
      <w:r>
        <w:rPr>
          <w:sz w:val="21"/>
          <w:szCs w:val="21"/>
        </w:rPr>
        <w:t xml:space="preserve"> The obligations in this Section 5 shall survive the expiry or termination of this Agreement for a period of </w:t>
      </w:r>
      <w:r>
        <w:rPr>
          <w:b/>
          <w:bCs/>
          <w:sz w:val="21"/>
          <w:szCs w:val="21"/>
        </w:rPr>
        <w:t xml:space="preserve">three (3) years</w:t>
      </w:r>
      <w:r>
        <w:rPr>
          <w:sz w:val="21"/>
          <w:szCs w:val="21"/>
        </w:rPr>
        <w:t xml:space="preserve">.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Section 6. Intellectual Property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6.1</w:t>
      </w:r>
      <w:r>
        <w:rPr>
          <w:sz w:val="21"/>
          <w:szCs w:val="21"/>
        </w:rPr>
        <w:t xml:space="preserve"> Each Party retains all right, title, and interest in its pre-existing intellectual property.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6.2</w:t>
      </w:r>
      <w:r>
        <w:rPr>
          <w:sz w:val="21"/>
          <w:szCs w:val="21"/>
        </w:rPr>
        <w:t xml:space="preserve"> Subject to payment of all amounts due, Provider assigns to Client all right, title, and interest in the Deliverables, excluding Provider pre-existing intellectual property.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Section 7. Term and Termination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7.1 Term.</w:t>
      </w:r>
      <w:r>
        <w:rPr>
          <w:sz w:val="21"/>
          <w:szCs w:val="21"/>
        </w:rPr>
        <w:t xml:space="preserve"> This Agreement commences on the Effective Date and continues for an initial term of </w:t>
      </w:r>
      <w:r>
        <w:rPr>
          <w:b/>
          <w:bCs/>
          <w:sz w:val="21"/>
          <w:szCs w:val="21"/>
        </w:rPr>
        <w:t xml:space="preserve">three (3) years</w:t>
      </w:r>
      <w:r>
        <w:rPr>
          <w:sz w:val="21"/>
          <w:szCs w:val="21"/>
        </w:rPr>
        <w:t xml:space="preserve">, expiring on </w:t>
      </w:r>
      <w:r>
        <w:rPr>
          <w:b/>
          <w:bCs/>
          <w:sz w:val="21"/>
          <w:szCs w:val="21"/>
        </w:rPr>
        <w:t xml:space="preserve">2 March 2029</w:t>
      </w:r>
      <w:r>
        <w:rPr>
          <w:sz w:val="21"/>
          <w:szCs w:val="21"/>
        </w:rPr>
        <w:t xml:space="preserve">, unless terminated earlier.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7.2 Renewal.</w:t>
      </w:r>
      <w:r>
        <w:rPr>
          <w:sz w:val="21"/>
          <w:szCs w:val="21"/>
        </w:rPr>
        <w:t xml:space="preserve"> This Agreement renews automatically for successive periods of one (1) year unless either Party gives written notice of non-renewal not less than one hundred and twenty (120) days before the end of the then-current term.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7.3 Termination for Convenience.</w:t>
      </w:r>
      <w:r>
        <w:rPr>
          <w:sz w:val="21"/>
          <w:szCs w:val="21"/>
        </w:rPr>
        <w:t xml:space="preserve"> Either Party may terminate this Agreement for convenience by giving the other Party not less than </w:t>
      </w:r>
      <w:r>
        <w:rPr>
          <w:b/>
          <w:bCs/>
          <w:sz w:val="21"/>
          <w:szCs w:val="21"/>
        </w:rPr>
        <w:t xml:space="preserve">ninety (90) days'</w:t>
      </w:r>
      <w:r>
        <w:rPr>
          <w:sz w:val="21"/>
          <w:szCs w:val="21"/>
        </w:rPr>
        <w:t xml:space="preserve"> prior written notice, provided that no such notice may be given during the first twenty-four (24) months of the initial term.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7.4 Termination for Cause.</w:t>
      </w:r>
      <w:r>
        <w:rPr>
          <w:sz w:val="21"/>
          <w:szCs w:val="21"/>
        </w:rPr>
        <w:t xml:space="preserve"> Either Party may terminate with immediate effect if the other Party commits a material breach and fails to remedy it within the Cure Period, becomes insolvent, or ceases to carry on business.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Section 8. Limitation of Liability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8.1 Exclusion of Indirect Loss.</w:t>
      </w:r>
      <w:r>
        <w:rPr>
          <w:sz w:val="21"/>
          <w:szCs w:val="21"/>
        </w:rPr>
        <w:t xml:space="preserve"> Neither Party shall be liable for any indirect, incidental, special, consequential, or punitive damages, or for loss of profits, revenue, business, or anticipated savings.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8.2 Direct Loss.</w:t>
      </w:r>
      <w:r>
        <w:rPr>
          <w:sz w:val="21"/>
          <w:szCs w:val="21"/>
        </w:rPr>
        <w:t xml:space="preserve"> Each Party is liable for direct losses arising from its breach, subject to the cap in Section 8.3.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8.3 Liability Cap.</w:t>
      </w:r>
      <w:r>
        <w:rPr>
          <w:sz w:val="21"/>
          <w:szCs w:val="21"/>
        </w:rPr>
        <w:t xml:space="preserve"> The aggregate liability of each Party under or in connection with this Agreement shall not exceed </w:t>
      </w:r>
      <w:r>
        <w:rPr>
          <w:b/>
          <w:bCs/>
          <w:sz w:val="21"/>
          <w:szCs w:val="21"/>
        </w:rPr>
        <w:t xml:space="preserve">five hundred thousand United States dollars (USD 500,000)</w:t>
      </w:r>
      <w:r>
        <w:rPr>
          <w:sz w:val="21"/>
          <w:szCs w:val="21"/>
        </w:rPr>
        <w:t xml:space="preserve"> in aggregate over the life of this Agreement.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8.4 Exclusions from Cap.</w:t>
      </w:r>
      <w:r>
        <w:rPr>
          <w:sz w:val="21"/>
          <w:szCs w:val="21"/>
        </w:rPr>
        <w:t xml:space="preserve"> The limitations in Sections 8.1 and 8.3 do not apply to: (a) indemnity obligations under Section 9; (b) breach of Section 5; (c) fraud or wilful misconduct; or (d) Client's obligation to pay fees properly due.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Section 9. Indemnities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9.1</w:t>
      </w:r>
      <w:r>
        <w:rPr>
          <w:sz w:val="21"/>
          <w:szCs w:val="21"/>
        </w:rPr>
        <w:t xml:space="preserve"> Provider shall indemnify Client against third-party claims that a Deliverable infringes third-party intellectual property rights, subject to prompt notice, sole control of defence, and reasonable assistance.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9.2</w:t>
      </w:r>
      <w:r>
        <w:rPr>
          <w:sz w:val="21"/>
          <w:szCs w:val="21"/>
        </w:rPr>
        <w:t xml:space="preserve"> Client shall indemnify Provider against third-party claims arising from Client's unlawful use of the Deliverables.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Section 10. Data Protection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10.1</w:t>
      </w:r>
      <w:r>
        <w:rPr>
          <w:sz w:val="21"/>
          <w:szCs w:val="21"/>
        </w:rPr>
        <w:t xml:space="preserve"> Each Party shall comply with applicable data protection laws, including the Singapore Personal Data Protection Act 2012.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10.2</w:t>
      </w:r>
      <w:r>
        <w:rPr>
          <w:sz w:val="21"/>
          <w:szCs w:val="21"/>
        </w:rPr>
        <w:t xml:space="preserve"> Provider shall process Client personal data only in accordance with Client's documented instructions.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10.3 Breach Notification.</w:t>
      </w:r>
      <w:r>
        <w:rPr>
          <w:sz w:val="21"/>
          <w:szCs w:val="21"/>
        </w:rPr>
        <w:t xml:space="preserve"> Provider shall notify Client of any personal data breach within </w:t>
      </w:r>
      <w:r>
        <w:rPr>
          <w:b/>
          <w:bCs/>
          <w:sz w:val="21"/>
          <w:szCs w:val="21"/>
        </w:rPr>
        <w:t xml:space="preserve">forty-eight (48) hours</w:t>
      </w:r>
      <w:r>
        <w:rPr>
          <w:sz w:val="21"/>
          <w:szCs w:val="21"/>
        </w:rPr>
        <w:t xml:space="preserve"> of becoming aware of it.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Section 11. Audit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11.1</w:t>
      </w:r>
      <w:r>
        <w:rPr>
          <w:sz w:val="21"/>
          <w:szCs w:val="21"/>
        </w:rPr>
        <w:t xml:space="preserve"> Client may audit Provider's compliance </w:t>
      </w:r>
      <w:r>
        <w:rPr>
          <w:b/>
          <w:bCs/>
          <w:sz w:val="21"/>
          <w:szCs w:val="21"/>
        </w:rPr>
        <w:t xml:space="preserve">once per calendar year</w:t>
      </w:r>
      <w:r>
        <w:rPr>
          <w:sz w:val="21"/>
          <w:szCs w:val="21"/>
        </w:rPr>
        <w:t xml:space="preserve">, on not less than </w:t>
      </w:r>
      <w:r>
        <w:rPr>
          <w:b/>
          <w:bCs/>
          <w:sz w:val="21"/>
          <w:szCs w:val="21"/>
        </w:rPr>
        <w:t xml:space="preserve">thirty (30) days'</w:t>
      </w:r>
      <w:r>
        <w:rPr>
          <w:sz w:val="21"/>
          <w:szCs w:val="21"/>
        </w:rPr>
        <w:t xml:space="preserve"> prior written notice.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Section 13. Insurance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13.1</w:t>
      </w:r>
      <w:r>
        <w:rPr>
          <w:sz w:val="21"/>
          <w:szCs w:val="21"/>
        </w:rPr>
        <w:t xml:space="preserve"> Provider shall maintain professional indemnity insurance of not less than </w:t>
      </w:r>
      <w:r>
        <w:rPr>
          <w:b/>
          <w:bCs/>
          <w:sz w:val="21"/>
          <w:szCs w:val="21"/>
        </w:rPr>
        <w:t xml:space="preserve">USD 2,000,000</w:t>
      </w:r>
      <w:r>
        <w:rPr>
          <w:sz w:val="21"/>
          <w:szCs w:val="21"/>
        </w:rPr>
        <w:t xml:space="preserve"> per claim and commercial general liability insurance of not less than </w:t>
      </w:r>
      <w:r>
        <w:rPr>
          <w:b/>
          <w:bCs/>
          <w:sz w:val="21"/>
          <w:szCs w:val="21"/>
        </w:rPr>
        <w:t xml:space="preserve">USD 5,000,000</w:t>
      </w:r>
      <w:r>
        <w:rPr>
          <w:sz w:val="21"/>
          <w:szCs w:val="21"/>
        </w:rPr>
        <w:t xml:space="preserve"> per occurrence.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Section 14. Notices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14.1</w:t>
      </w:r>
      <w:r>
        <w:rPr>
          <w:sz w:val="21"/>
          <w:szCs w:val="21"/>
        </w:rPr>
        <w:t xml:space="preserve"> Any notice shall be in writing and delivered by hand, by internationally recognised courier, or by electronic mail to the addresses set out in the signature block below.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14.2</w:t>
      </w:r>
      <w:r>
        <w:rPr>
          <w:sz w:val="21"/>
          <w:szCs w:val="21"/>
        </w:rPr>
        <w:t xml:space="preserve"> A notice sent by courier is deemed received on the </w:t>
      </w:r>
      <w:r>
        <w:rPr>
          <w:b/>
          <w:bCs/>
          <w:sz w:val="21"/>
          <w:szCs w:val="21"/>
        </w:rPr>
        <w:t xml:space="preserve">third</w:t>
      </w:r>
      <w:r>
        <w:rPr>
          <w:sz w:val="21"/>
          <w:szCs w:val="21"/>
        </w:rPr>
        <w:t xml:space="preserve"> Business Day after dispatch.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Section 15. Governing Law and Dispute Resolution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15.1 Governing Law.</w:t>
      </w:r>
      <w:r>
        <w:rPr>
          <w:sz w:val="21"/>
          <w:szCs w:val="21"/>
        </w:rPr>
        <w:t xml:space="preserve"> This Agreement shall be governed by and construed in accordance with the laws of </w:t>
      </w:r>
      <w:r>
        <w:rPr>
          <w:b/>
          <w:bCs/>
          <w:sz w:val="21"/>
          <w:szCs w:val="21"/>
        </w:rPr>
        <w:t xml:space="preserve">Singapore</w:t>
      </w:r>
      <w:r>
        <w:rPr>
          <w:sz w:val="21"/>
          <w:szCs w:val="21"/>
        </w:rPr>
        <w:t xml:space="preserve">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15.2 Arbitration.</w:t>
      </w:r>
      <w:r>
        <w:rPr>
          <w:sz w:val="21"/>
          <w:szCs w:val="21"/>
        </w:rPr>
        <w:t xml:space="preserve"> Any dispute arising out of or in connection with this Agreement shall be referred to and finally resolved by </w:t>
      </w:r>
      <w:r>
        <w:rPr>
          <w:b/>
          <w:bCs/>
          <w:sz w:val="21"/>
          <w:szCs w:val="21"/>
        </w:rPr>
        <w:t xml:space="preserve">arbitration administered by the Singapore International Arbitration Centre (SIAC)</w:t>
      </w:r>
      <w:r>
        <w:rPr>
          <w:sz w:val="21"/>
          <w:szCs w:val="21"/>
        </w:rPr>
        <w:t xml:space="preserve"> in accordance with its Rules in force at the time. The seat of arbitration shall be Singapore and the tribunal shall consist of one (1) arbitrator.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15.3</w:t>
      </w:r>
      <w:r>
        <w:rPr>
          <w:sz w:val="21"/>
          <w:szCs w:val="21"/>
        </w:rPr>
        <w:t xml:space="preserve"> For the avoidance of doubt, this Agreement does </w:t>
      </w:r>
      <w:r>
        <w:rPr>
          <w:b/>
          <w:bCs/>
          <w:sz w:val="21"/>
          <w:szCs w:val="21"/>
        </w:rPr>
        <w:t xml:space="preserve">not</w:t>
      </w:r>
      <w:r>
        <w:rPr>
          <w:sz w:val="21"/>
          <w:szCs w:val="21"/>
        </w:rPr>
        <w:t xml:space="preserve"> confer jurisdiction on any court in India.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Section 17. Non-Solicitation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17.1</w:t>
      </w:r>
      <w:r>
        <w:rPr>
          <w:sz w:val="21"/>
          <w:szCs w:val="21"/>
        </w:rPr>
        <w:t xml:space="preserve"> During the term and for </w:t>
      </w:r>
      <w:r>
        <w:rPr>
          <w:b/>
          <w:bCs/>
          <w:sz w:val="21"/>
          <w:szCs w:val="21"/>
        </w:rPr>
        <w:t xml:space="preserve">six (6) months</w:t>
      </w:r>
      <w:r>
        <w:rPr>
          <w:sz w:val="21"/>
          <w:szCs w:val="21"/>
        </w:rPr>
        <w:t xml:space="preserve"> thereafter, neither Party shall directly solicit for employment any employee of the other Party materially involved in the performance of this Agreement.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Section 20. Amendment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20.1</w:t>
      </w:r>
      <w:r>
        <w:rPr>
          <w:sz w:val="21"/>
          <w:szCs w:val="21"/>
        </w:rPr>
        <w:t xml:space="preserve"> This Agreement may be amended only by a written instrument signed by both Parties. </w:t>
      </w:r>
      <w:r>
        <w:rPr>
          <w:b/>
          <w:bCs/>
          <w:sz w:val="21"/>
          <w:szCs w:val="21"/>
        </w:rPr>
        <w:t xml:space="preserve">As at the date of this document, no amendments to this Agreement have been executed.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EXECUTED</w:t>
      </w:r>
      <w:r>
        <w:rPr>
          <w:sz w:val="21"/>
          <w:szCs w:val="21"/>
        </w:rPr>
        <w:t xml:space="preserve"> by the Parties on 3 March 2026.</w:t>
      </w:r>
    </w:p>
    <w:p>
      <w:pPr>
        <w:spacing w:after="120" w:before="60" w:line="280"/>
      </w:pPr>
      <w:r>
        <w:rPr>
          <w:sz w:val="21"/>
          <w:szCs w:val="21"/>
        </w:rPr>
        <w:t xml:space="preserve">For and on behalf of </w:t>
      </w:r>
      <w:r>
        <w:rPr>
          <w:b/>
          <w:bCs/>
          <w:sz w:val="21"/>
          <w:szCs w:val="21"/>
        </w:rPr>
        <w:t xml:space="preserve">Soft Suave Technologies Private Limited</w:t>
      </w:r>
      <w:r>
        <w:rPr>
          <w:sz w:val="21"/>
          <w:szCs w:val="21"/>
        </w:rPr>
        <w:t xml:space="preserve"> Name: R. Anand — Title: Director Notice address: legal@softsuave.example, Chennai, Tamil Nadu, India</w:t>
      </w:r>
    </w:p>
    <w:p>
      <w:pPr>
        <w:spacing w:after="120" w:before="60" w:line="280"/>
      </w:pPr>
      <w:r>
        <w:rPr>
          <w:sz w:val="21"/>
          <w:szCs w:val="21"/>
        </w:rPr>
        <w:t xml:space="preserve">For and on behalf of </w:t>
      </w:r>
      <w:r>
        <w:rPr>
          <w:b/>
          <w:bCs/>
          <w:sz w:val="21"/>
          <w:szCs w:val="21"/>
        </w:rPr>
        <w:t xml:space="preserve">Vertex Retail Solutions Limited</w:t>
      </w:r>
      <w:r>
        <w:rPr>
          <w:sz w:val="21"/>
          <w:szCs w:val="21"/>
        </w:rPr>
        <w:t xml:space="preserve"> Name: Daniel Lim — Title: Finance Director Notice address: contracts@vertexretail.example, 1 Raffles Place, Singapore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Soft Suave AI Engineering League</dc:creator>
  <dc:description>Shared contract corpus — training evaluation material</dc:description>
  <cp:lastModifiedBy>Un-named</cp:lastModifiedBy>
  <cp:revision>1</cp:revision>
  <dcterms:created xsi:type="dcterms:W3CDTF">2026-10-05T08:32:03.338Z</dcterms:created>
  <dcterms:modified xsi:type="dcterms:W3CDTF">2026-10-05T08:32:03.338Z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