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Times New Roman" w:hAnsi="Times New Roman"/>
          <w:b/>
          <w:sz w:val="32"/>
        </w:rPr>
        <w:t xml:space="preserve">LITERATURE SURVEY</w:t>
      </w:r>
    </w:p>
    <w:p>
      <w:pPr>
        <w:jc w:val="center"/>
      </w:pPr>
      <w:r>
        <w:rPr>
          <w:rFonts w:ascii="Times New Roman" w:hAnsi="Times New Roman"/>
          <w:b/>
          <w:sz w:val="26"/>
        </w:rPr>
        <w:t xml:space="preserve">Post-Quantum Secure Communication &amp; Migration Framework: Experimental Evaluation of Classical, Hybrid, and Post-Quantum Secure Communication Configurations</w:t>
      </w:r>
    </w:p>
    <w:p>
      <w:pPr>
        <w:jc w:val="both"/>
      </w:pPr>
    </w:p>
    <w:p>
      <w:pPr>
        <w:jc w:val="both"/>
      </w:pPr>
      <w:r>
        <w:rPr>
          <w:rFonts w:ascii="Times New Roman" w:hAnsi="Times New Roman"/>
          <w:b/>
          <w:sz w:val="28"/>
        </w:rPr>
        <w:t xml:space="preserve">1. Introduction</w:t>
      </w:r>
    </w:p>
    <w:p>
      <w:pPr>
        <w:spacing w:after="120" w:line="259" w:lineRule="auto"/>
        <w:jc w:val="both"/>
      </w:pPr>
      <w:r>
        <w:t xml:space="preserve">Our project implements a modular, provider-agnostic software testbed, the Post-Quantum Secure Communication and Migration Framework, which experimentally evaluates how a secure communication system can be migrated from classical public-key cryptography (ECDH P-384 and ECDSA P-384) to the NIST post-quantum standards ML-KEM-768 (FIPS 203), ML-DSA-65 (FIPS 204) and SLH-DSA-SHAKE-128f (FIPS 205), including hybrid key establishment. Every configuration runs through the same pipeline: key establishment, key derivation with HKDF-SHA-384, authenticated encryption with AES-256-GCM, and a digital signature over the ciphertext and nonce, with the receiver following a strict verify-then-decrypt order. Four operational modes are implemented: Mode A (ECDH + ECDSA, classical), Mode B (ML-KEM-768 + ML-DSA-65), Mode C (ML-KEM-768 + SLH-DSA-SHAKE-128f) and Mode D, a hybrid that combines ECDH P-384 and ML-KEM-768 through HKDF-SHA-384 with a configurable signature (ML-DSA-65, SLH-DSA or ECDSA), which gives six concrete configurations. A crypto-agility layer (an immutable CryptoConfig built by a ModeFactory, with the algorithm suite identifier carried in every message) allows the configuration to be changed without modifying the communication logic.</w:t>
      </w:r>
    </w:p>
    <w:p>
      <w:pPr>
        <w:spacing w:after="120" w:line="259" w:lineRule="auto"/>
        <w:jc w:val="both"/>
      </w:pPr>
      <w:r>
        <w:t xml:space="preserve">The framework is evaluated through microbenchmarks of latency (100 measured iterations after 20 warm-up rounds, and 20 after 5 for the pure-Python SLH-DSA), exact serialized wire sizes for a 1 KiB payload, a harness of 49 adversarial scenarios (tampering, truncation, malformed messages, cross-suite substitution and a replay characterization), five staged migration experiments covering seven measured transitions (including a rollback and a lattice-to-hash-based switch), a 6 × 6 pairwise compatibility matrix, and an interactive Streamlit dashboard. All experiments run in software on conventional hardware (Windows 11, Python 3.14.3, PyCA cryptography 48.0.0 and slh-dsa 0.2.5). No quantum hardware is used, Shor’s algorithm is not executed, and the message protocol is stateless, so replay detection is outside the scope of the project.</w:t>
      </w:r>
    </w:p>
    <w:p>
      <w:pPr>
        <w:spacing w:after="120" w:line="259" w:lineRule="auto"/>
        <w:jc w:val="both"/>
      </w:pPr>
      <w:r>
        <w:t xml:space="preserve">For this survey, we studied four research works. They cover the systematic literature on migrating software systems to post-quantum cryptography, the concept and state of crypto-agility, the formal treatment of hybrid key encapsulation and authenticated key exchange, and an experimental comparison of ML-DSA and SLH-DSA in classical, hybrid and post-quantum TLS 1.3 authentication.</w:t>
      </w:r>
    </w:p>
    <w:p>
      <w:pPr>
        <w:jc w:val="both"/>
      </w:pPr>
      <w:r>
        <w:rPr>
          <w:rFonts w:ascii="Times New Roman" w:hAnsi="Times New Roman"/>
          <w:b/>
          <w:sz w:val="28"/>
        </w:rPr>
        <w:t xml:space="preserve">2. Papers Reviewed</w:t>
      </w:r>
    </w:p>
    <w:p>
      <w:pPr>
        <w:jc w:val="both"/>
      </w:pPr>
      <w:r>
        <w:rPr>
          <w:rFonts w:ascii="Times New Roman" w:hAnsi="Times New Roman"/>
          <w:b/>
          <w:sz w:val="24"/>
        </w:rPr>
        <w:t xml:space="preserve">2.1 Migrating Software Systems Toward Post-Quantum Cryptography: A Systematic Literature Review</w:t>
      </w:r>
    </w:p>
    <w:p>
      <w:pPr>
        <w:spacing w:after="100"/>
        <w:jc w:val="both"/>
      </w:pPr>
      <w:r>
        <w:rPr>
          <w:i/>
        </w:rPr>
        <w:t xml:space="preserve">C. Näther, D. Herzinger, S.-L. Gazdag, J.-P. Steghöfer, S. Daum and D. Loebenberger, “Migrating Software Systems Toward Post-Quantum Cryptography—A Systematic Literature Review,” IEEE Access, vol. 12, pp. 132107–132126, 2024.</w:t>
      </w:r>
    </w:p>
    <w:p>
      <w:pPr>
        <w:spacing w:after="120" w:line="259" w:lineRule="auto"/>
        <w:jc w:val="both"/>
      </w:pPr>
      <w:r>
        <w:rPr>
          <w:b/>
        </w:rPr>
        <w:t xml:space="preserve">Problem statement:</w:t>
      </w:r>
      <w:r>
        <w:t xml:space="preserve"> Quantum computing threatens the public-key mechanisms that protect networked software, so existing systems must be migrated to post-quantum cryptography (PQC). However, there is little practical knowledge about how such a migration should be structured and carried out, and the literature does not use consistent terminology for migration steps and roles.</w:t>
      </w:r>
    </w:p>
    <w:p>
      <w:pPr>
        <w:spacing w:after="120" w:line="259" w:lineRule="auto"/>
        <w:jc w:val="both"/>
      </w:pPr>
      <w:r>
        <w:rPr>
          <w:b/>
        </w:rPr>
        <w:t xml:space="preserve">Technical approach:</w:t>
      </w:r>
      <w:r>
        <w:t xml:space="preserve"> The authors conduct a systematic literature review following PRISMA 2020 and Kitchenham’s guidelines. After searching databases, a search engine and 25 conference proceedings and applying inclusion and exclusion criteria, they analyse a final set of 21 papers against three research questions: which migration steps are used, how PQC is applied in migrated systems, and which challenges arise.</w:t>
      </w:r>
    </w:p>
    <w:p>
      <w:pPr>
        <w:spacing w:after="120" w:line="259" w:lineRule="auto"/>
        <w:jc w:val="both"/>
      </w:pPr>
      <w:r>
        <w:rPr>
          <w:b/>
        </w:rPr>
        <w:t xml:space="preserve">Findings:</w:t>
      </w:r>
      <w:r>
        <w:t xml:space="preserve"> The review identifies four migration phases (Diagnosis, Plan, Execution and Maintenance) and four role archetypes. It reports that hybrid solutions are widely used in the migrations that were actually carried out, and that the main challenges are organizational (expertise, time and cost), PQC-specific (larger keys and signatures, performance, immature libraries and downgrade concerns) and code-related (legacy and hard-coded cryptography). It concludes that there is no established migration framework, that implementations are mostly experimental, and that the Execution and Maintenance phases are described only sparsely.</w:t>
      </w:r>
    </w:p>
    <w:p>
      <w:pPr>
        <w:spacing w:after="120" w:line="259" w:lineRule="auto"/>
        <w:jc w:val="both"/>
      </w:pPr>
      <w:r>
        <w:rPr>
          <w:b/>
        </w:rPr>
        <w:t xml:space="preserve">Relevance:</w:t>
      </w:r>
      <w:r>
        <w:t xml:space="preserve"> This is highly relevant because it frames the problem our project addresses and confirms that hybrid constructions are the common transitional step during the Execution phase. Our staged migration experiments (Mode A to Mode D to Modes B or C) follow this hybrid-first pattern, and the downgrade concern the review raises corresponds to our strict suite binding, in which every message carries its algorithm identifier and a mismatched receiver rejects it without silent fallback. Unlike the review, which is secondary literature without new measurements, our project executes and measures the transitions in a working system. Our project does not cover the Diagnosis, Planning and Maintenance activities (cryptographic inventory, risk assessment, roles); it focuses on the technical transition itself.</w:t>
      </w:r>
    </w:p>
    <w:p>
      <w:pPr>
        <w:jc w:val="both"/>
      </w:pPr>
      <w:r>
        <w:rPr>
          <w:rFonts w:ascii="Times New Roman" w:hAnsi="Times New Roman"/>
          <w:b/>
          <w:sz w:val="24"/>
        </w:rPr>
        <w:t xml:space="preserve">2.2 On the State of Crypto-Agility</w:t>
      </w:r>
    </w:p>
    <w:p>
      <w:pPr>
        <w:spacing w:after="100"/>
        <w:jc w:val="both"/>
      </w:pPr>
      <w:r>
        <w:rPr>
          <w:i/>
        </w:rPr>
        <w:t xml:space="preserve">N. Alnahawi, N. Schmitt, A. Wiesmaier, A. Heinemann and T. Grasmeyer, “On the State of Crypto-Agility,” Cryptology ePrint Archive, Paper 2023/487, 2023.</w:t>
      </w:r>
    </w:p>
    <w:p>
      <w:pPr>
        <w:spacing w:after="120" w:line="259" w:lineRule="auto"/>
        <w:jc w:val="both"/>
      </w:pPr>
      <w:r>
        <w:rPr>
          <w:b/>
        </w:rPr>
        <w:t xml:space="preserve">Problem statement:</w:t>
      </w:r>
      <w:r>
        <w:t xml:space="preserve"> The demand for crypto-agility has existed for more than two decades, but it has grown with the expected PQC migration. The notion still lacks a unified definition, scope and set of practical applications, so it is unclear what must be done to make a system crypto-agile.</w:t>
      </w:r>
    </w:p>
    <w:p>
      <w:pPr>
        <w:spacing w:after="120" w:line="259" w:lineRule="auto"/>
        <w:jc w:val="both"/>
      </w:pPr>
      <w:r>
        <w:rPr>
          <w:b/>
        </w:rPr>
        <w:t xml:space="preserve">Technical approach:</w:t>
      </w:r>
      <w:r>
        <w:t xml:space="preserve"> The paper is a literature survey. It compares existing definitions of crypto-agility and organizes development efforts into requirements, characteristics and challenges. It also looks at crypto-agility beyond PQC algorithms and security protocols, reviews current solutions, automation mechanisms and best practices, and evaluates the state of readiness for crypto-agility.</w:t>
      </w:r>
    </w:p>
    <w:p>
      <w:pPr>
        <w:spacing w:after="120" w:line="259" w:lineRule="auto"/>
        <w:jc w:val="both"/>
      </w:pPr>
      <w:r>
        <w:rPr>
          <w:b/>
        </w:rPr>
        <w:t xml:space="preserve">Findings:</w:t>
      </w:r>
      <w:r>
        <w:t xml:space="preserve"> The authors conclude that more agile design paradigms are needed, both when developing new IT systems and when refactoring existing ones, if crypto-agility is to be realized on a broad scale. A later review by Näther et al. [1] summarizes this work as defining a system as crypto-agile if it can be migrated with comparatively low effort.</w:t>
      </w:r>
    </w:p>
    <w:p>
      <w:pPr>
        <w:spacing w:after="120" w:line="259" w:lineRule="auto"/>
        <w:jc w:val="both"/>
      </w:pPr>
      <w:r>
        <w:rPr>
          <w:b/>
        </w:rPr>
        <w:t xml:space="preserve">Relevance:</w:t>
      </w:r>
      <w:r>
        <w:t xml:space="preserve"> This paper directly supports the crypto-agility layer of our project. Our framework separates provider interfaces (key exchange, signature, encryption and key derivation) from the communication logic, builds validated and immutable CryptoConfig objects through a single ModeFactory, and was tested by moving between classical, hybrid and pure-PQC suites at runtime with functional continuity in every migration stage. This corresponds to the “low effort migration” view of agility. Unlike the survey, our project provides a concrete implementation and measured transition costs (latency and wire-size deltas), but it does not propose a formal agility metric, and suites are matched strictly rather than negotiated between peers.</w:t>
      </w:r>
    </w:p>
    <w:p>
      <w:pPr>
        <w:jc w:val="both"/>
      </w:pPr>
      <w:r>
        <w:rPr>
          <w:rFonts w:ascii="Times New Roman" w:hAnsi="Times New Roman"/>
          <w:b/>
          <w:sz w:val="24"/>
        </w:rPr>
        <w:t xml:space="preserve">2.3 Hybrid Key Encapsulation Mechanisms and Authenticated Key Exchange</w:t>
      </w:r>
    </w:p>
    <w:p>
      <w:pPr>
        <w:spacing w:after="100"/>
        <w:jc w:val="both"/>
      </w:pPr>
      <w:r>
        <w:rPr>
          <w:i/>
        </w:rPr>
        <w:t xml:space="preserve">N. Bindel, J. Brendel, M. Fischlin, B. Goncalves and D. Stebila, “Hybrid Key Encapsulation Mechanisms and Authenticated Key Exchange,” in Post-Quantum Cryptography (PQCrypto 2019), Springer, 2019; also IACR Cryptology ePrint Archive, Paper 2018/903.</w:t>
      </w:r>
    </w:p>
    <w:p>
      <w:pPr>
        <w:spacing w:after="120" w:line="259" w:lineRule="auto"/>
        <w:jc w:val="both"/>
      </w:pPr>
      <w:r>
        <w:rPr>
          <w:b/>
        </w:rPr>
        <w:t xml:space="preserve">Problem statement:</w:t>
      </w:r>
      <w:r>
        <w:t xml:space="preserve"> Hybrid key exchange, which combines classically secure and quantum-resistant schemes, was already used in academic and industry TLS experiments and draft standards, but sound theoretical approaches to justify the design and security of such hybrid protocols were missing.</w:t>
      </w:r>
    </w:p>
    <w:p>
      <w:pPr>
        <w:spacing w:after="120" w:line="259" w:lineRule="auto"/>
        <w:jc w:val="both"/>
      </w:pPr>
      <w:r>
        <w:rPr>
          <w:b/>
        </w:rPr>
        <w:t xml:space="preserve">Technical approach:</w:t>
      </w:r>
      <w:r>
        <w:t xml:space="preserve"> The authors initiate the formal modelling of hybrid authenticated key exchange, considering adversaries with different levels of quantum power over time (for example, adversaries who become quantum in the future or are already quantum). They propose several combiners for building hybrid key encapsulation mechanisms (KEMs) that correspond closely to the Internet-Drafts for hybrid key exchange in TLS 1.3, and present a provably sound design for hybrid key exchange that uses KEMs as building blocks.</w:t>
      </w:r>
    </w:p>
    <w:p>
      <w:pPr>
        <w:spacing w:after="120" w:line="259" w:lineRule="auto"/>
        <w:jc w:val="both"/>
      </w:pPr>
      <w:r>
        <w:rPr>
          <w:b/>
        </w:rPr>
        <w:t xml:space="preserve">Findings:</w:t>
      </w:r>
      <w:r>
        <w:t xml:space="preserve"> The paper provides a security model for hybrid authenticated key exchange, several hybrid KEM combiners, and a provably sound key-exchange design, giving hybrid constructions a theoretical basis instead of relying only on drafts and experiments.</w:t>
      </w:r>
    </w:p>
    <w:p>
      <w:pPr>
        <w:spacing w:after="120" w:line="259" w:lineRule="auto"/>
        <w:jc w:val="both"/>
      </w:pPr>
      <w:r>
        <w:rPr>
          <w:b/>
        </w:rPr>
        <w:t xml:space="preserve">Relevance:</w:t>
      </w:r>
      <w:r>
        <w:t xml:space="preserve"> This paper is the theoretical basis for Mode D of our project. Our hybrid key establishment carries an ephemeral ECDH P-384 public key (97 B) together with the ML-KEM-768 ciphertext (1,088 B), and combines the two shared secrets as HKDF-SHA-384(ECDH secret || ML-KEM secret) with a domain-separation label, which follows the combiner-based view of hybrid KEMs. Our project does not prove the security of this construction; it follows established library and standards guidance, and it instead measures the practical cost: the HKDF combiner takes about 18.55 µs, and hybrid key establishment adds 272 B (+2.33%) to the wire size of Mode B. Mutation tests on each component confirm that corrupting either the ECDH part or the ML-KEM part makes the receiver’s final authenticated decryption fail.</w:t>
      </w:r>
    </w:p>
    <w:p>
      <w:pPr>
        <w:jc w:val="both"/>
      </w:pPr>
      <w:r>
        <w:rPr>
          <w:rFonts w:ascii="Times New Roman" w:hAnsi="Times New Roman"/>
          <w:b/>
          <w:sz w:val="24"/>
        </w:rPr>
        <w:t xml:space="preserve">2.4 Signature Placement in Post-Quantum TLS Certificate Hierarchies: An Experimental Study of ML-DSA and SLH-DSA in TLS 1.3 Authentication</w:t>
      </w:r>
    </w:p>
    <w:p>
      <w:pPr>
        <w:spacing w:after="100"/>
        <w:jc w:val="both"/>
      </w:pPr>
      <w:r>
        <w:rPr>
          <w:i/>
        </w:rPr>
        <w:t xml:space="preserve">J. L. Delgado, “Signature Placement in Post-Quantum TLS Certificate Hierarchies: An Experimental Study of ML-DSA and SLH-DSA in TLS 1.3 Authentication,” arXiv:2604.06100, 2026.</w:t>
      </w:r>
    </w:p>
    <w:p>
      <w:pPr>
        <w:spacing w:after="120" w:line="259" w:lineRule="auto"/>
        <w:jc w:val="both"/>
      </w:pPr>
      <w:r>
        <w:rPr>
          <w:b/>
        </w:rPr>
        <w:t xml:space="preserve">Problem statement:</w:t>
      </w:r>
      <w:r>
        <w:t xml:space="preserve"> Post-quantum migration in TLS 1.3 couples the choice of signature algorithm with certificate-hierarchy structure and with how the cryptographic cost is shared between client and server. Primitive-level benchmarks alone do not show how ML-DSA and SLH-DSA behave once they are embedded in live, certificate-based authentication.</w:t>
      </w:r>
    </w:p>
    <w:p>
      <w:pPr>
        <w:spacing w:after="120" w:line="259" w:lineRule="auto"/>
        <w:jc w:val="both"/>
      </w:pPr>
      <w:r>
        <w:rPr>
          <w:b/>
        </w:rPr>
        <w:t xml:space="preserve">Technical approach:</w:t>
      </w:r>
      <w:r>
        <w:t xml:space="preserve"> The paper reports a local experimental study of TLS 1.3 built on OpenSSL 3 and the Open Quantum Safe provider (oqsprovider). It compares ML-DSA and SLH-DSA at different positions and depths of the certificate hierarchy, under classical (X25519), hybrid (X25519MLKEM768) and pure post-quantum (MLKEM768) key exchange, using four measurement campaigns. Handshake latency, transferred bytes and client/server CPU time are recorded.</w:t>
      </w:r>
    </w:p>
    <w:p>
      <w:pPr>
        <w:spacing w:after="120" w:line="259" w:lineRule="auto"/>
        <w:jc w:val="both"/>
      </w:pPr>
      <w:r>
        <w:rPr>
          <w:b/>
        </w:rPr>
        <w:t xml:space="preserve">Findings:</w:t>
      </w:r>
      <w:r>
        <w:t xml:space="preserve"> Placing SLH-DSA in the server leaf certificate raises handshake latency and server-side compute by orders of magnitude (a plateau of about 1.4 s, against below 1 ms for all-ML-DSA hierarchies), while keeping SLH-DSA in upper trust layers and ML-DSA in the leaf stays within a plausible range. Transferred bytes explain the cost only outside the SLH-DSA-leaf regime. The key-exchange mode changes latency only moderately in the low-cost ML-DSA scenarios (for example, about 1.22 times higher for hybrid than for classical in the simple ML-DSA case) and has little effect once SLH-DSA is in the leaf.</w:t>
      </w:r>
    </w:p>
    <w:p>
      <w:pPr>
        <w:spacing w:after="120" w:line="259" w:lineRule="auto"/>
        <w:jc w:val="both"/>
      </w:pPr>
      <w:r>
        <w:rPr>
          <w:b/>
        </w:rPr>
        <w:t xml:space="preserve">Relevance:</w:t>
      </w:r>
      <w:r>
        <w:t xml:space="preserve"> This is the closest experimental study to our project. It compares the same signature families (ML-DSA and SLH-DSA) and the same kinds of key establishment (classical, hybrid and pure post-quantum) that we compare in Modes A, B, C and D, and its qualitative conclusion agrees with ours: SLH-DSA is much more expensive than ML-DSA in computation and size, whereas the hybrid key exchange adds only a modest cost. In our measurements, SLH-DSA-SHAKE-128f signing takes 245.70 ms on average against about 1.46 ms for ML-DSA-65 (1 KiB payload), and a 1 KiB message occupies 27,506 B in Mode C against 11,693 B in Mode B. Unlike that work, our project operates at the application-message level without certificates, PKI or a TLS handshake, uses native PyCA backends for ML-KEM and ML-DSA but a pure-Python SLH-DSA backend with the fast (128f) parameter set, and adds tamper-rejection and staged-migration experiments. The absolute numbers of the two studies are therefore not directly comparable.</w:t>
      </w:r>
    </w:p>
    <w:p>
      <w:pPr>
        <w:jc w:val="both"/>
      </w:pPr>
      <w:r>
        <w:rPr>
          <w:rFonts w:ascii="Times New Roman" w:hAnsi="Times New Roman"/>
          <w:b/>
          <w:sz w:val="28"/>
        </w:rPr>
        <w:t xml:space="preserve">3. Comparison</w:t>
      </w:r>
    </w:p>
    <w:tbl>
      <w:tblPr>
        <w:tblStyle w:val="35"/>
        <w:tblW w:w="100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2300"/>
        <w:gridCol w:w="2500"/>
        <w:gridCol w:w="3340"/>
      </w:tblGrid>
      <w:tr>
        <w:trPr>
          <w:cantSplit/>
          <w:jc w:val="center"/>
        </w:trPr>
        <w:tc>
          <w:tcPr>
            <w:tcW w:w="1900" w:type="dxa"/>
            <w:vAlign w:val="center"/>
          </w:tcPr>
          <w:p>
            <w:pPr>
              <w:spacing w:after="0" w:line="240" w:lineRule="auto"/>
              <w:jc w:val="both"/>
            </w:pPr>
            <w:r>
              <w:rPr>
                <w:rFonts w:ascii="Times New Roman" w:hAnsi="Times New Roman"/>
                <w:b/>
                <w:sz w:val="20"/>
              </w:rPr>
              <w:t xml:space="preserve">Paper</w:t>
            </w:r>
          </w:p>
        </w:tc>
        <w:tc>
          <w:tcPr>
            <w:tcW w:w="2300" w:type="dxa"/>
            <w:vAlign w:val="center"/>
          </w:tcPr>
          <w:p>
            <w:pPr>
              <w:spacing w:after="0" w:line="240" w:lineRule="auto"/>
              <w:jc w:val="both"/>
            </w:pPr>
            <w:r>
              <w:rPr>
                <w:rFonts w:ascii="Times New Roman" w:hAnsi="Times New Roman"/>
                <w:b/>
                <w:sz w:val="20"/>
              </w:rPr>
              <w:t xml:space="preserve">Focus</w:t>
            </w:r>
          </w:p>
        </w:tc>
        <w:tc>
          <w:tcPr>
            <w:tcW w:w="2500" w:type="dxa"/>
            <w:vAlign w:val="center"/>
          </w:tcPr>
          <w:p>
            <w:pPr>
              <w:spacing w:after="0" w:line="240" w:lineRule="auto"/>
              <w:jc w:val="both"/>
            </w:pPr>
            <w:r>
              <w:rPr>
                <w:rFonts w:ascii="Times New Roman" w:hAnsi="Times New Roman"/>
                <w:b/>
                <w:sz w:val="20"/>
              </w:rPr>
              <w:t xml:space="preserve">Type of Evidence</w:t>
            </w:r>
          </w:p>
        </w:tc>
        <w:tc>
          <w:tcPr>
            <w:tcW w:w="3340" w:type="dxa"/>
            <w:vAlign w:val="center"/>
          </w:tcPr>
          <w:p>
            <w:pPr>
              <w:spacing w:after="0" w:line="240" w:lineRule="auto"/>
              <w:jc w:val="both"/>
            </w:pPr>
            <w:r>
              <w:rPr>
                <w:rFonts w:ascii="Times New Roman" w:hAnsi="Times New Roman"/>
                <w:b/>
                <w:sz w:val="20"/>
              </w:rPr>
              <w:t xml:space="preserve">Main Limitation</w:t>
            </w:r>
          </w:p>
        </w:tc>
      </w:tr>
      <w:tr>
        <w:trPr>
          <w:cantSplit/>
          <w:jc w:val="center"/>
        </w:trPr>
        <w:tc>
          <w:tcPr>
            <w:tcW w:w="1900" w:type="dxa"/>
          </w:tcPr>
          <w:p>
            <w:pPr>
              <w:spacing w:after="0" w:line="240" w:lineRule="auto"/>
              <w:jc w:val="both"/>
            </w:pPr>
            <w:r>
              <w:rPr>
                <w:rFonts w:ascii="Times New Roman" w:hAnsi="Times New Roman"/>
                <w:sz w:val="18"/>
              </w:rPr>
              <w:t xml:space="preserve">Näther et al. (2024)</w:t>
            </w:r>
          </w:p>
        </w:tc>
        <w:tc>
          <w:tcPr>
            <w:tcW w:w="2300" w:type="dxa"/>
          </w:tcPr>
          <w:p>
            <w:pPr>
              <w:spacing w:after="0" w:line="240" w:lineRule="auto"/>
              <w:jc w:val="both"/>
            </w:pPr>
            <w:r>
              <w:rPr>
                <w:rFonts w:ascii="Times New Roman" w:hAnsi="Times New Roman"/>
                <w:sz w:val="18"/>
              </w:rPr>
              <w:t xml:space="preserve">Process, applications and challenges of migrating software systems to PQC</w:t>
            </w:r>
          </w:p>
        </w:tc>
        <w:tc>
          <w:tcPr>
            <w:tcW w:w="2500" w:type="dxa"/>
          </w:tcPr>
          <w:p>
            <w:pPr>
              <w:spacing w:after="0" w:line="240" w:lineRule="auto"/>
              <w:jc w:val="both"/>
            </w:pPr>
            <w:r>
              <w:rPr>
                <w:rFonts w:ascii="Times New Roman" w:hAnsi="Times New Roman"/>
                <w:sz w:val="18"/>
              </w:rPr>
              <w:t xml:space="preserve">Systematic literature review (21 papers, PRISMA 2020)</w:t>
            </w:r>
          </w:p>
        </w:tc>
        <w:tc>
          <w:tcPr>
            <w:tcW w:w="3340" w:type="dxa"/>
          </w:tcPr>
          <w:p>
            <w:pPr>
              <w:spacing w:after="0" w:line="240" w:lineRule="auto"/>
              <w:jc w:val="both"/>
            </w:pPr>
            <w:r>
              <w:rPr>
                <w:rFonts w:ascii="Times New Roman" w:hAnsi="Times New Roman"/>
                <w:sz w:val="18"/>
              </w:rPr>
              <w:t xml:space="preserve">Secondary study; no new measurements, and execution and maintenance phases are sparsely covered in the literature</w:t>
            </w:r>
          </w:p>
        </w:tc>
      </w:tr>
      <w:tr>
        <w:trPr>
          <w:cantSplit/>
          <w:jc w:val="center"/>
        </w:trPr>
        <w:tc>
          <w:tcPr>
            <w:tcW w:w="1900" w:type="dxa"/>
          </w:tcPr>
          <w:p>
            <w:pPr>
              <w:spacing w:after="0" w:line="240" w:lineRule="auto"/>
              <w:jc w:val="both"/>
            </w:pPr>
            <w:r>
              <w:rPr>
                <w:rFonts w:ascii="Times New Roman" w:hAnsi="Times New Roman"/>
                <w:sz w:val="18"/>
              </w:rPr>
              <w:t xml:space="preserve">Alnahawi et al. (2023)</w:t>
            </w:r>
          </w:p>
        </w:tc>
        <w:tc>
          <w:tcPr>
            <w:tcW w:w="2300" w:type="dxa"/>
          </w:tcPr>
          <w:p>
            <w:pPr>
              <w:spacing w:after="0" w:line="240" w:lineRule="auto"/>
              <w:jc w:val="both"/>
            </w:pPr>
            <w:r>
              <w:rPr>
                <w:rFonts w:ascii="Times New Roman" w:hAnsi="Times New Roman"/>
                <w:sz w:val="18"/>
              </w:rPr>
              <w:t xml:space="preserve">Definition, requirements and readiness of crypto-agility</w:t>
            </w:r>
          </w:p>
        </w:tc>
        <w:tc>
          <w:tcPr>
            <w:tcW w:w="2500" w:type="dxa"/>
          </w:tcPr>
          <w:p>
            <w:pPr>
              <w:spacing w:after="0" w:line="240" w:lineRule="auto"/>
              <w:jc w:val="both"/>
            </w:pPr>
            <w:r>
              <w:rPr>
                <w:rFonts w:ascii="Times New Roman" w:hAnsi="Times New Roman"/>
                <w:sz w:val="18"/>
              </w:rPr>
              <w:t xml:space="preserve">Literature survey</w:t>
            </w:r>
          </w:p>
        </w:tc>
        <w:tc>
          <w:tcPr>
            <w:tcW w:w="3340" w:type="dxa"/>
          </w:tcPr>
          <w:p>
            <w:pPr>
              <w:spacing w:after="0" w:line="240" w:lineRule="auto"/>
              <w:jc w:val="both"/>
            </w:pPr>
            <w:r>
              <w:rPr>
                <w:rFonts w:ascii="Times New Roman" w:hAnsi="Times New Roman"/>
                <w:sz w:val="18"/>
              </w:rPr>
              <w:t xml:space="preserve">Conceptual; no implementation or measured migration cost</w:t>
            </w:r>
          </w:p>
        </w:tc>
      </w:tr>
      <w:tr>
        <w:trPr>
          <w:cantSplit/>
          <w:jc w:val="center"/>
        </w:trPr>
        <w:tc>
          <w:tcPr>
            <w:tcW w:w="1900" w:type="dxa"/>
          </w:tcPr>
          <w:p>
            <w:pPr>
              <w:spacing w:after="0" w:line="240" w:lineRule="auto"/>
              <w:jc w:val="both"/>
            </w:pPr>
            <w:r>
              <w:rPr>
                <w:rFonts w:ascii="Times New Roman" w:hAnsi="Times New Roman"/>
                <w:sz w:val="18"/>
              </w:rPr>
              <w:t xml:space="preserve">Bindel et al. (2019)</w:t>
            </w:r>
          </w:p>
        </w:tc>
        <w:tc>
          <w:tcPr>
            <w:tcW w:w="2300" w:type="dxa"/>
          </w:tcPr>
          <w:p>
            <w:pPr>
              <w:spacing w:after="0" w:line="240" w:lineRule="auto"/>
              <w:jc w:val="both"/>
            </w:pPr>
            <w:r>
              <w:rPr>
                <w:rFonts w:ascii="Times New Roman" w:hAnsi="Times New Roman"/>
                <w:sz w:val="18"/>
              </w:rPr>
              <w:t xml:space="preserve">Security model and combiners for hybrid KEMs and authenticated key exchange</w:t>
            </w:r>
          </w:p>
        </w:tc>
        <w:tc>
          <w:tcPr>
            <w:tcW w:w="2500" w:type="dxa"/>
          </w:tcPr>
          <w:p>
            <w:pPr>
              <w:spacing w:after="0" w:line="240" w:lineRule="auto"/>
              <w:jc w:val="both"/>
            </w:pPr>
            <w:r>
              <w:rPr>
                <w:rFonts w:ascii="Times New Roman" w:hAnsi="Times New Roman"/>
                <w:sz w:val="18"/>
              </w:rPr>
              <w:t xml:space="preserve">Formal modelling and provable-security design</w:t>
            </w:r>
          </w:p>
        </w:tc>
        <w:tc>
          <w:tcPr>
            <w:tcW w:w="3340" w:type="dxa"/>
          </w:tcPr>
          <w:p>
            <w:pPr>
              <w:spacing w:after="0" w:line="240" w:lineRule="auto"/>
              <w:jc w:val="both"/>
            </w:pPr>
            <w:r>
              <w:rPr>
                <w:rFonts w:ascii="Times New Roman" w:hAnsi="Times New Roman"/>
                <w:sz w:val="18"/>
              </w:rPr>
              <w:t xml:space="preserve">Theoretical; no end-to-end implementation or performance benchmarking, and it predates the final NIST standards</w:t>
            </w:r>
          </w:p>
        </w:tc>
      </w:tr>
      <w:tr>
        <w:trPr>
          <w:cantSplit/>
          <w:jc w:val="center"/>
        </w:trPr>
        <w:tc>
          <w:tcPr>
            <w:tcW w:w="1900" w:type="dxa"/>
          </w:tcPr>
          <w:p>
            <w:pPr>
              <w:spacing w:after="0" w:line="240" w:lineRule="auto"/>
              <w:jc w:val="both"/>
            </w:pPr>
            <w:r>
              <w:rPr>
                <w:rFonts w:ascii="Times New Roman" w:hAnsi="Times New Roman"/>
                <w:sz w:val="18"/>
              </w:rPr>
              <w:t xml:space="preserve">Delgado (2026)</w:t>
            </w:r>
          </w:p>
        </w:tc>
        <w:tc>
          <w:tcPr>
            <w:tcW w:w="2300" w:type="dxa"/>
          </w:tcPr>
          <w:p>
            <w:pPr>
              <w:spacing w:after="0" w:line="240" w:lineRule="auto"/>
              <w:jc w:val="both"/>
            </w:pPr>
            <w:r>
              <w:rPr>
                <w:rFonts w:ascii="Times New Roman" w:hAnsi="Times New Roman"/>
                <w:sz w:val="18"/>
              </w:rPr>
              <w:t xml:space="preserve">ML-DSA vs SLH-DSA in classical, hybrid and PQ TLS 1.3 certificate hierarchies</w:t>
            </w:r>
          </w:p>
        </w:tc>
        <w:tc>
          <w:tcPr>
            <w:tcW w:w="2500" w:type="dxa"/>
          </w:tcPr>
          <w:p>
            <w:pPr>
              <w:spacing w:after="0" w:line="240" w:lineRule="auto"/>
              <w:jc w:val="both"/>
            </w:pPr>
            <w:r>
              <w:rPr>
                <w:rFonts w:ascii="Times New Roman" w:hAnsi="Times New Roman"/>
                <w:sz w:val="18"/>
              </w:rPr>
              <w:t xml:space="preserve">Local experiments (OpenSSL 3 + oqsprovider)</w:t>
            </w:r>
          </w:p>
        </w:tc>
        <w:tc>
          <w:tcPr>
            <w:tcW w:w="3340" w:type="dxa"/>
          </w:tcPr>
          <w:p>
            <w:pPr>
              <w:spacing w:after="0" w:line="240" w:lineRule="auto"/>
              <w:jc w:val="both"/>
            </w:pPr>
            <w:r>
              <w:rPr>
                <w:rFonts w:ascii="Times New Roman" w:hAnsi="Times New Roman"/>
                <w:sz w:val="18"/>
              </w:rPr>
              <w:t xml:space="preserve">arXiv preprint; single implementation stack and controlled local setting; TLS/PKI-specific, not an application-level message pipeline</w:t>
            </w:r>
          </w:p>
        </w:tc>
      </w:tr>
    </w:tbl>
    <w:p>
      <w:pPr>
        <w:jc w:val="both"/>
      </w:pPr>
    </w:p>
    <w:p>
      <w:pPr>
        <w:jc w:val="both"/>
      </w:pPr>
      <w:r>
        <w:rPr>
          <w:rFonts w:ascii="Times New Roman" w:hAnsi="Times New Roman"/>
          <w:b/>
          <w:sz w:val="28"/>
        </w:rPr>
        <w:t xml:space="preserve">4. Gap and Conclusion</w:t>
      </w:r>
    </w:p>
    <w:p>
      <w:pPr>
        <w:spacing w:after="120" w:line="259" w:lineRule="auto"/>
        <w:jc w:val="both"/>
      </w:pPr>
      <w:r>
        <w:t xml:space="preserve">The reviewed papers show that the move to post-quantum cryptography is best treated as a staged migration in which hybrid constructions and crypto-agility play a central role. However, each work covers only one side of the problem. Näther et al. describe the migration process without measuring it, Alnahawi et al. define crypto-agility without a working implementation, Bindel et al. give the security foundations of hybrid key establishment without an empirical evaluation, and Delgado measures ML-DSA and SLH-DSA only inside TLS 1.3 certificate hierarchies on a single implementation stack.</w:t>
      </w:r>
    </w:p>
    <w:p>
      <w:pPr>
        <w:spacing w:after="120" w:line="259" w:lineRule="auto"/>
        <w:jc w:val="both"/>
      </w:pPr>
      <w:r>
        <w:t xml:space="preserve">The four reviewed works therefore do not present a small, reproducible and provider-agnostic testbed in which classical, pure-PQC (lattice-based and hash-based) and hybrid configurations run through identical message framing, are measured for latency and exact serialized size, are attacked with the same tamper-mutation harness under a verify-then-decrypt discipline, and are connected by executed migration paths with measured per-transition deltas, a rollback and a full pairwise compatibility matrix. Our project addresses this gap as an experimental study, using the crypto-agility layer to switch between suites without changing the communication logic.</w:t>
      </w:r>
    </w:p>
    <w:p>
      <w:pPr>
        <w:spacing w:after="120" w:line="259" w:lineRule="auto"/>
        <w:jc w:val="both"/>
      </w:pPr>
      <w:r>
        <w:t xml:space="preserve">From this survey, we understand that a hybrid, staged approach is the practical direction for the PQC transition and that its trade-offs should be quantified rather than assumed. Our measurements support this view. ML-KEM-768 key generation (301.0 µs) was 77.44% faster than ECDH P-384 (1,334.5 µs), and ML-DSA-65 verification (298.3 µs) was 79.00% faster than ECDSA P-384 (1,420.4 µs), but ML-DSA-65 public keys and signatures are much larger (1,952 B vs 120 B and 3,309 B vs 104 B). For a 1 KiB payload the wire size grows from 2,084 B (Mode A) to 11,693 B (Mode B, +461.08%), 27,506 B (Mode C, +1,219.87%) and 11,965 B (Mode D with ML-DSA, +474.14%); the hybrid step adds only 272 B (+2.33%) over Mode B. Of the 49 adversarial scenarios, all 48 tampering, truncation, malformed-message and cross-suite cases were rejected, while the replay test was accepted because the protocol is stateless; in the 6 × 6 compatibility matrix the 6 matching pairs were accepted and the 30 mismatched pairs rejected; and all five migration experiments kept functional continuity.</w:t>
      </w:r>
    </w:p>
    <w:p>
      <w:pPr>
        <w:spacing w:after="120" w:line="259" w:lineRule="auto"/>
        <w:jc w:val="both"/>
      </w:pPr>
      <w:r>
        <w:t xml:space="preserve">These results come from a software testbed and must be read with care. No quantum hardware or quantum attack was used, the experiments were run on one machine and depend on the chosen provider backends (the SLH-DSA latency partly reflects its pure-Python implementation), and the project does not provide a formal security proof of the algorithms or of the hybrid combiner. Replay protection, X.509 certificate and PKI integration, TLS 1.3 hybrid handshake negotiation, hardware security module support and network fragmentation effects are not covered. As future work, we plan to add stateful replay protection at the transport layer, integrate the framework with certificate authorities and a hybrid TLS 1.3 handshake, evaluate hardware security module acceleration, and study packet fragmentation over low-MTU links.</w:t>
      </w:r>
    </w:p>
    <w:p>
      <w:pPr>
        <w:jc w:val="both"/>
      </w:pPr>
      <w:r>
        <w:rPr>
          <w:rFonts w:ascii="Times New Roman" w:hAnsi="Times New Roman"/>
          <w:b/>
          <w:sz w:val="28"/>
        </w:rPr>
        <w:t xml:space="preserve">References</w:t>
      </w:r>
    </w:p>
    <w:p>
      <w:pPr>
        <w:spacing w:after="120" w:line="259" w:lineRule="auto"/>
        <w:jc w:val="both"/>
      </w:pPr>
      <w:r>
        <w:t xml:space="preserve">[1] C. Näther, D. Herzinger, S.-L. Gazdag, J.-P. Steghöfer, S. Daum and D. Loebenberger, “Migrating Software Systems Toward Post-Quantum Cryptography—A Systematic Literature Review,” IEEE Access, vol. 12, pp. 132107–132126, 2024. doi: 10.1109/ACCESS.2024.3450306.</w:t>
      </w:r>
    </w:p>
    <w:p>
      <w:pPr>
        <w:spacing w:after="120" w:line="259" w:lineRule="auto"/>
        <w:jc w:val="both"/>
      </w:pPr>
      <w:r>
        <w:t xml:space="preserve">[2] N. Alnahawi, N. Schmitt, A. Wiesmaier, A. Heinemann and T. Grasmeyer, “On the State of Crypto-Agility,” Cryptology ePrint Archive, Paper 2023/487, 2023. [Online]. Available: https://eprint.iacr.org/2023/487.</w:t>
      </w:r>
    </w:p>
    <w:p>
      <w:pPr>
        <w:spacing w:after="120" w:line="259" w:lineRule="auto"/>
        <w:jc w:val="both"/>
      </w:pPr>
      <w:r>
        <w:t xml:space="preserve">[3] N. Bindel, J. Brendel, M. Fischlin, B. Goncalves and D. Stebila, “Hybrid Key Encapsulation Mechanisms and Authenticated Key Exchange,” in Post-Quantum Cryptography (PQCrypto 2019), Springer, 2019; Cryptology ePrint Archive, Paper 2018/903. [Online]. Available: https://eprint.iacr.org/2018/903.</w:t>
      </w:r>
    </w:p>
    <w:p>
      <w:pPr>
        <w:spacing w:after="120" w:line="259" w:lineRule="auto"/>
        <w:jc w:val="both"/>
      </w:pPr>
      <w:r>
        <w:t xml:space="preserve">[4] J. L. Delgado, “Signature Placement in Post-Quantum TLS Certificate Hierarchies: An Experimental Study of ML-DSA and SLH-DSA in TLS 1.3 Authentication,” arXiv:2604.06100, 2026. [Online]. Available: https://arxiv.org/abs/2604.06100.</w:t>
      </w: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E863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1693</Words>
  <Characters>10862</Characters>
  <Lines>0</Lines>
  <Paragraphs>0</Paragraphs>
  <TotalTime>0</TotalTime>
  <ScaleCrop>false</ScaleCrop>
  <LinksUpToDate>false</LinksUpToDate>
  <CharactersWithSpaces>12495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Madhumitha G</cp:lastModifiedBy>
  <dcterms:modified xsi:type="dcterms:W3CDTF">2026-10-06T03:14:36Z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eyJoZGlkIjoiNTU0ZmIwYTQ3NzlmZGUxZmU3Zjk0M2IyZTNmM2IxNjAiLCJ1c2VySWQiOiI1Njc1Mjk2MjUyNTUifQ==</vt:lpwstr>
  </property>
  <property fmtid="{D5CDD505-2E9C-101B-9397-08002B2CF9AE}" pid="3" name="KSOProductBuildVer">
    <vt:lpwstr>1033-12.1.0.28485</vt:lpwstr>
  </property>
  <property fmtid="{D5CDD505-2E9C-101B-9397-08002B2CF9AE}" pid="4" name="ICV">
    <vt:lpwstr>74C25EC9A37D4093830BEB4EB663CF08_12</vt:lpwstr>
  </property>
</Properties>
</file>