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20" w:after="320"/>
        <w:jc w:val="center"/>
      </w:pPr>
      <w:r>
        <w:rPr>
          <w:rFonts w:ascii="Calibri" w:hAnsi="Calibri" w:eastAsia="Arial Unicode MS"/>
          <w:b/>
          <w:color w:val="2E74B5"/>
          <w:sz w:val="20"/>
        </w:rPr>
        <w:t>PRODUCT OVERVIEW</w:t>
      </w:r>
    </w:p>
    <w:p>
      <w:pPr>
        <w:spacing w:after="160"/>
        <w:jc w:val="center"/>
      </w:pPr>
      <w:r>
        <w:rPr>
          <w:rFonts w:ascii="Calibri" w:hAnsi="Calibri" w:eastAsia="Arial Unicode MS"/>
          <w:b/>
          <w:color w:val="0B2545"/>
          <w:sz w:val="64"/>
        </w:rPr>
        <w:t>MemGuard</w:t>
      </w:r>
    </w:p>
    <w:p>
      <w:pPr>
        <w:spacing w:after="520"/>
        <w:jc w:val="center"/>
      </w:pPr>
      <w:r>
        <w:rPr>
          <w:rFonts w:ascii="Calibri" w:hAnsi="Calibri" w:eastAsia="Arial Unicode MS"/>
          <w:color w:val="1F4D78"/>
          <w:sz w:val="32"/>
        </w:rPr>
        <w:t>AI Agent 的記憶可觀測性、安全與稽核證據層</w:t>
      </w:r>
    </w:p>
    <w:p>
      <w:pPr>
        <w:spacing w:after="1440" w:line="300" w:lineRule="auto"/>
        <w:ind w:left="792" w:right="792"/>
        <w:jc w:val="center"/>
      </w:pPr>
      <w:r>
        <w:rPr>
          <w:rFonts w:ascii="Calibri" w:hAnsi="Calibri" w:eastAsia="Arial Unicode MS"/>
          <w:color w:val="5C6875"/>
          <w:sz w:val="24"/>
        </w:rPr>
        <w:t>看見 Agent 記住了什麼、哪些記憶曾在輸出生成時可用、狀態如何演變，以及記憶是否出現衝突或可疑修改。</w:t>
      </w:r>
    </w:p>
    <w:p>
      <w:pPr>
        <w:spacing w:after="100"/>
        <w:jc w:val="center"/>
      </w:pPr>
      <w:r>
        <w:rPr>
          <w:rFonts w:ascii="Calibri" w:hAnsi="Calibri" w:eastAsia="Arial Unicode MS"/>
          <w:b/>
          <w:color w:val="0B2545"/>
          <w:sz w:val="20"/>
        </w:rPr>
        <w:t>專案快照：MemguardV1</w:t>
      </w:r>
    </w:p>
    <w:p>
      <w:pPr>
        <w:jc w:val="center"/>
      </w:pPr>
      <w:r>
        <w:rPr>
          <w:rFonts w:ascii="Calibri" w:hAnsi="Calibri" w:eastAsia="Arial Unicode MS"/>
          <w:color w:val="5C6875"/>
          <w:sz w:val="19"/>
        </w:rPr>
        <w:t>整理日期：2026 年 7 月 31 日</w:t>
      </w:r>
    </w:p>
    <w:p>
      <w:r>
        <w:br w:type="page"/>
      </w:r>
    </w:p>
    <w:p>
      <w:pPr>
        <w:pStyle w:val="Heading1"/>
        <w:keepNext/>
      </w:pPr>
      <w:r>
        <w:t>一頁摘要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264" w:lineRule="auto"/>
            </w:pPr>
            <w:r>
              <w:rPr>
                <w:rFonts w:ascii="Calibri" w:hAnsi="Calibri" w:eastAsia="Arial Unicode MS"/>
                <w:b/>
                <w:color w:val="2E74B5"/>
              </w:rPr>
              <w:t xml:space="preserve">一句話定位  </w:t>
            </w:r>
            <w:r>
              <w:rPr>
                <w:rFonts w:ascii="Calibri" w:hAnsi="Calibri" w:eastAsia="Arial Unicode MS"/>
                <w:color w:val="1F2937"/>
              </w:rPr>
              <w:t>MemGuard 是 AI Agent 的『記憶黑盒飛行記錄器』：它在不替換原有記憶系統的前提下，攔截並記錄每一次記憶操作，再把這些事件組成可查詢、可比較、可稽核的證據鏈。</w:t>
            </w:r>
          </w:p>
        </w:tc>
      </w:tr>
    </w:tbl>
    <w:p>
      <w:pPr>
        <w:spacing w:after="0"/>
      </w:pPr>
    </w:p>
    <w:p>
      <w:pPr>
        <w:keepLines w:val="0"/>
        <w:spacing w:after="120" w:line="264" w:lineRule="auto"/>
      </w:pPr>
      <w:r>
        <w:rPr>
          <w:rFonts w:ascii="Calibri" w:hAnsi="Calibri" w:eastAsia="Arial Unicode MS"/>
          <w:color w:val="1F2937"/>
        </w:rPr>
        <w:t>你正在做的核心不是另一個向量資料庫，也不是 Prompt Log。你是在建立一層專門針對 Agent Memory 的 observability 與 governance infrastructure，讓工程、資安與合規人員可以回答四個關鍵問題：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Agent 在某一刻讀了、寫了、更新了或刪除了哪些記憶？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某個輸出生成時，有哪些持久化記憶證據可被使用？之後又寫出了什麼新狀態？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同一記憶是否被不同 Agent 在短時間內互相覆寫，或出現疑似污染／指令注入？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能否把技術事件轉成開發者可除錯、合規人員可審查的時間線與報告？</w:t>
      </w:r>
    </w:p>
    <w:p>
      <w:pPr>
        <w:pStyle w:val="Heading2"/>
        <w:keepNext/>
      </w:pPr>
      <w:r>
        <w:t>現在已經具備的產品形態</w:t>
      </w:r>
    </w:p>
    <w:p>
      <w:pPr>
        <w:keepLines w:val="0"/>
        <w:spacing w:after="120" w:line="264" w:lineRule="auto"/>
      </w:pPr>
      <w:r>
        <w:rPr>
          <w:rFonts w:ascii="Calibri" w:hAnsi="Calibri" w:eastAsia="Arial Unicode MS"/>
          <w:color w:val="1F2937"/>
        </w:rPr>
        <w:t>目前程式庫已形成一個可展示、可本機部署的端到端產品雛形：Python SDK 負責攔截；FastAPI Control Plane 負責接收、儲存與分析；Next.js Dashboard 負責呈現；Docker Compose 串起 PostgreSQL、Keycloak、後端與前端；FinCompli 則提供具體的金融合規示範案例。</w:t>
      </w:r>
    </w:p>
    <w:p>
      <w:pPr>
        <w:pStyle w:val="Heading2"/>
        <w:keepNext/>
      </w:pPr>
      <w:r>
        <w:t>產品的分層願景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700"/>
        <w:gridCol w:w="3900"/>
        <w:gridCol w:w="2460"/>
      </w:tblGrid>
      <w:tr>
        <w:trPr>
          <w:tblHeader w:val="true"/>
        </w:trPr>
        <w:tc>
          <w:tcPr>
            <w:tcW w:type="dxa" w:w="130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層級</w:t>
            </w:r>
          </w:p>
        </w:tc>
        <w:tc>
          <w:tcPr>
            <w:tcW w:type="dxa" w:w="170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主要使用者</w:t>
            </w:r>
          </w:p>
        </w:tc>
        <w:tc>
          <w:tcPr>
            <w:tcW w:type="dxa" w:w="390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要回答的問題</w:t>
            </w:r>
          </w:p>
        </w:tc>
        <w:tc>
          <w:tcPr>
            <w:tcW w:type="dxa" w:w="246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現況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Tier 1｜除錯</w:t>
            </w:r>
          </w:p>
        </w:tc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AI 工程師</w:t>
            </w:r>
          </w:p>
        </w:tc>
        <w:tc>
          <w:tcPr>
            <w:tcW w:type="dxa" w:w="39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是哪一段記憶造成了這次行為？</w:t>
            </w:r>
          </w:p>
        </w:tc>
        <w:tc>
          <w:tcPr>
            <w:tcW w:type="dxa" w:w="24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核心能力已落地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Tier 2｜可觀測性</w:t>
            </w:r>
          </w:p>
        </w:tc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平台團隊</w:t>
            </w:r>
          </w:p>
        </w:tc>
        <w:tc>
          <w:tcPr>
            <w:tcW w:type="dxa" w:w="39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記憶系統如何變化、是否穩定？</w:t>
            </w:r>
          </w:p>
        </w:tc>
        <w:tc>
          <w:tcPr>
            <w:tcW w:type="dxa" w:w="24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事件、時間線、Diff、統計已具雛形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Tier 3｜可稽核性</w:t>
            </w:r>
          </w:p>
        </w:tc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風控／合規</w:t>
            </w:r>
          </w:p>
        </w:tc>
        <w:tc>
          <w:tcPr>
            <w:tcW w:type="dxa" w:w="39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能否用證據解釋一次 Agent 輸出？</w:t>
            </w:r>
          </w:p>
        </w:tc>
        <w:tc>
          <w:tcPr>
            <w:tcW w:type="dxa" w:w="24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Decision Trace 與模板式報告已落地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Tier 4｜治理</w:t>
            </w:r>
          </w:p>
        </w:tc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CISO／管理層</w:t>
            </w:r>
          </w:p>
        </w:tc>
        <w:tc>
          <w:tcPr>
            <w:tcW w:type="dxa" w:w="39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如何把記憶當作組織風險面治理？</w:t>
            </w:r>
          </w:p>
        </w:tc>
        <w:tc>
          <w:tcPr>
            <w:tcW w:type="dxa" w:w="24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屬於中長期藍圖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為什麼這個產品值得做</w:t>
      </w:r>
    </w:p>
    <w:p>
      <w:pPr>
        <w:pStyle w:val="Heading2"/>
        <w:keepNext/>
      </w:pPr>
      <w:r>
        <w:t>Agent 的記憶已經成為新的隱藏狀態</w:t>
      </w:r>
    </w:p>
    <w:p>
      <w:pPr>
        <w:keepLines w:val="0"/>
        <w:spacing w:after="120" w:line="264" w:lineRule="auto"/>
      </w:pPr>
      <w:r>
        <w:rPr>
          <w:rFonts w:ascii="Calibri" w:hAnsi="Calibri" w:eastAsia="Arial Unicode MS"/>
          <w:color w:val="1F2937"/>
        </w:rPr>
        <w:t>傳統應用的錯誤多半可以從輸入、程式碼與資料庫重現；但具有長期記憶的 Agent 會被跨回合、跨工具、跨 Agent 的狀態影響。當答案錯了，僅看 Prompt 與 LLM 回應，往往看不到真正參與生成流程的歷史記憶、SOP、使用者偏好或工作狀態。</w:t>
      </w:r>
    </w:p>
    <w:p>
      <w:pPr>
        <w:pStyle w:val="Heading2"/>
        <w:keepNext/>
      </w:pPr>
      <w:r>
        <w:t>三個高價值痛點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b/>
          <w:color w:val="1F2937"/>
        </w:rPr>
        <w:t>除錯困難：</w:t>
      </w:r>
      <w:r>
        <w:rPr>
          <w:rFonts w:ascii="Calibri" w:hAnsi="Calibri" w:eastAsia="Arial Unicode MS"/>
          <w:color w:val="1F2937"/>
        </w:rPr>
        <w:t>開發者知道輸出錯了，卻不知道 Agent 當時讀到哪個舊狀態、是否讀到衝突版本。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b/>
          <w:color w:val="1F2937"/>
        </w:rPr>
        <w:t>安全風險：</w:t>
      </w:r>
      <w:r>
        <w:rPr>
          <w:rFonts w:ascii="Calibri" w:hAnsi="Calibri" w:eastAsia="Arial Unicode MS"/>
          <w:color w:val="1F2937"/>
        </w:rPr>
        <w:t>惡意內容一旦被寫入長期記憶，可能在未來多次被重新讀取，形成延遲生效的 memory poisoning。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b/>
          <w:color w:val="1F2937"/>
        </w:rPr>
        <w:t>合規缺口：</w:t>
      </w:r>
      <w:r>
        <w:rPr>
          <w:rFonts w:ascii="Calibri" w:hAnsi="Calibri" w:eastAsia="Arial Unicode MS"/>
          <w:color w:val="1F2937"/>
        </w:rPr>
        <w:t>高風險決策需要可追溯證據，但普通日誌沒有以記憶實體、版本、讀寫關係與租戶界線組織。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1F4D78"/>
              <w:left w:val="single" w:sz="8" w:color="1F4D78"/>
              <w:bottom w:val="single" w:sz="8" w:color="1F4D78"/>
              <w:right w:val="single" w:sz="8" w:color="1F4D78"/>
              <w:insideH w:val="single" w:sz="8" w:color="1F4D78"/>
              <w:insideV w:val="single" w:sz="8" w:color="1F4D7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264" w:lineRule="auto"/>
            </w:pPr>
            <w:r>
              <w:rPr>
                <w:rFonts w:ascii="Calibri" w:hAnsi="Calibri" w:eastAsia="Arial Unicode MS"/>
                <w:b/>
                <w:color w:val="1F4D78"/>
              </w:rPr>
              <w:t xml:space="preserve">產品洞察  </w:t>
            </w:r>
            <w:r>
              <w:rPr>
                <w:rFonts w:ascii="Calibri" w:hAnsi="Calibri" w:eastAsia="Arial Unicode MS"/>
                <w:color w:val="1F2937"/>
              </w:rPr>
              <w:t>在微服務世界，Distributed Tracing 讓請求路徑可見；MemGuard 的主張是：在 Agent 世界，Memory Tracing 會成為同樣基礎的能力。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它刻意不做什麼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不取代 Mem0、Redis、向量資料庫或 LangGraph Checkpointer 等既有記憶後端。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不把所有 LLM 請求代理到自己的服務；目前重點是記憶操作與證據關聯。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不宣稱『記錄到的記憶』等同模型內部真正的因果解釋；它提供的是可驗證的 evidence lineage，而不是讀心術。</w:t>
      </w:r>
    </w:p>
    <w:p>
      <w:r>
        <w:br w:type="page"/>
      </w:r>
    </w:p>
    <w:p>
      <w:pPr>
        <w:pStyle w:val="Heading1"/>
        <w:keepNext/>
      </w:pPr>
      <w:r>
        <w:t>系統如何運作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870448" cy="2709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270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Arial Unicode MS"/>
          <w:i/>
          <w:color w:val="5C6875"/>
          <w:sz w:val="18"/>
        </w:rPr>
        <w:t>圖 1｜MemGuard 端到端資料流</w:t>
      </w:r>
    </w:p>
    <w:p>
      <w:pPr>
        <w:pStyle w:val="Heading2"/>
        <w:keepNext/>
      </w:pPr>
      <w:r>
        <w:t>核心流程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Agent 透過既有記憶機制進行 CREATE、READ、UPDATE、DELETE、QUERY 或 SEARCH。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MemGuard SDK／框架 Adapter 在操作邊界產生 MemoryEvent；事件包含 Agent、Session、Namespace、記憶鍵、類型、時間、Hash 與上下文。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Transport 以背景佇列非同步送出事件。即使觀測後端不可用，設計目標也是不阻塞 Agent 主流程。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Control Plane 驗證並持久化事件，同時建立 Decision Trace、衝突分析、統計與稽核資料。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Evidence Console 把原始事件轉為時間線、狀態差異、輸出前證據、輸出後寫入與報告。</w:t>
      </w:r>
    </w:p>
    <w:p>
      <w:pPr>
        <w:pStyle w:val="Heading2"/>
        <w:keepNext/>
      </w:pPr>
      <w:r>
        <w:t>兩個最重要的資料單位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500"/>
        <w:gridCol w:w="51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資料單位</w:t>
            </w:r>
          </w:p>
        </w:tc>
        <w:tc>
          <w:tcPr>
            <w:tcW w:type="dxa" w:w="250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代表什麼</w:t>
            </w:r>
          </w:p>
        </w:tc>
        <w:tc>
          <w:tcPr>
            <w:tcW w:type="dxa" w:w="516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核心欄位／關聯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MemoryEvent</w:t>
            </w:r>
          </w:p>
        </w:tc>
        <w:tc>
          <w:tcPr>
            <w:tcW w:type="dxa" w:w="25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一次原子記憶操作</w:t>
            </w:r>
          </w:p>
        </w:tc>
        <w:tc>
          <w:tcPr>
            <w:tcW w:type="dxa" w:w="51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event_id、agent/session/namespace、operation、memory_key/type、before/after、content_hash、timestamp、context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DecisionTrace</w:t>
            </w:r>
          </w:p>
        </w:tc>
        <w:tc>
          <w:tcPr>
            <w:tcW w:type="dxa" w:w="25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把一次 Agent 輸出前後的證據串起來</w:t>
            </w:r>
          </w:p>
        </w:tc>
        <w:tc>
          <w:tcPr>
            <w:tcW w:type="dxa" w:w="51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input_event_ids → prompt/output hash 與摘要 → output_event_ids，另可附 evidence ranking / influence score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目前已實作的產品能力</w:t>
      </w:r>
    </w:p>
    <w:p>
      <w:pPr>
        <w:pStyle w:val="Heading2"/>
        <w:keepNext/>
      </w:pPr>
      <w:r>
        <w:t>1. SDK 與整合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可安裝的 Python SDK，核心包含 MemoryEvent、Interceptor、DecisionTrace 與 Influence 計算。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LangGraph Checkpointer Adapter 可包裝既有 checkpointer，攔截 get / put 類型操作。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提供 Stdout、HTTP、File 與 Null Transport；HTTP Transport 支援背景佇列、批次、重試與 flush。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事件傳送採 best-effort／fire-and-forget 思路，觀測失敗不應中斷業務 Agent。</w:t>
      </w:r>
    </w:p>
    <w:p>
      <w:pPr>
        <w:pStyle w:val="Heading2"/>
        <w:keepNext/>
      </w:pPr>
      <w:r>
        <w:t>2. Control Plane 與資料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FastAPI 提供事件 ingestion、記憶讀寫／查詢、時間線、Decision Trace、影響歷史、衝突分析、Session、統計與稽核 API。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本機預設可使用 SQLite；Pilot／Compose 路徑支援 PostgreSQL 16。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Keycloak OIDC Bearer Token、tenant claim 與 API tenant enforcement 已進入主架構，用來阻止跨租戶讀取。</w:t>
      </w:r>
    </w:p>
    <w:p>
      <w:pPr>
        <w:pStyle w:val="Heading2"/>
        <w:keepNext/>
      </w:pPr>
      <w:r>
        <w:t>3. 分析與呈現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Memory Timeline：依時間查看讀寫事件並按 operation / agent 篩選。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Memory Diff：顯示 before / after 以及欄位變動。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Conflict Detection：辨識不同 Agent 在短時間內修改同一記憶鍵的情況。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Decision Trace：呈現 Memory IN → Agent Output → Memory OUT，並保留缺失證據警示。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Audit Report：以模板把技術事件整理為 compliance、debug 或 business 風格摘要。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1C6F52"/>
              <w:left w:val="single" w:sz="8" w:color="1C6F52"/>
              <w:bottom w:val="single" w:sz="8" w:color="1C6F52"/>
              <w:right w:val="single" w:sz="8" w:color="1C6F52"/>
              <w:insideH w:val="single" w:sz="8" w:color="1C6F52"/>
              <w:insideV w:val="single" w:sz="8" w:color="1C6F5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264" w:lineRule="auto"/>
            </w:pPr>
            <w:r>
              <w:rPr>
                <w:rFonts w:ascii="Calibri" w:hAnsi="Calibri" w:eastAsia="Arial Unicode MS"/>
                <w:b/>
                <w:color w:val="1C6F52"/>
              </w:rPr>
              <w:t xml:space="preserve">隱私與證據  </w:t>
            </w:r>
            <w:r>
              <w:rPr>
                <w:rFonts w:ascii="Calibri" w:hAnsi="Calibri" w:eastAsia="Arial Unicode MS"/>
                <w:color w:val="1F2937"/>
              </w:rPr>
              <w:t>SDK 的資料模型以 content hash 為核心追蹤值；原文內容可以按整合與部署策略保留或最小化。Hash 能證明內容版本是否改變，但本身不是資料防洩漏的完整替代品。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示範場景：FinCompli 金融合規 Agent</w:t>
      </w:r>
    </w:p>
    <w:p>
      <w:pPr>
        <w:keepLines w:val="0"/>
        <w:spacing w:after="120" w:line="264" w:lineRule="auto"/>
      </w:pPr>
      <w:r>
        <w:rPr>
          <w:rFonts w:ascii="Calibri" w:hAnsi="Calibri" w:eastAsia="Arial Unicode MS"/>
          <w:color w:val="1F2937"/>
        </w:rPr>
        <w:t>專案內的 FinCompli baseline 是 MemGuard 的垂直示範：多個 Agent 共同分析一宗疑似拆分交易（structuring）案例。MemGuard 的價值不是替合規 Agent 下判斷，而是把判斷過程中的記憶證據留下來。</w:t>
      </w:r>
    </w:p>
    <w:p>
      <w:pPr>
        <w:pStyle w:val="Heading2"/>
        <w:keepNext/>
      </w:pPr>
      <w:r>
        <w:t>示範故事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Fraud Detection Agent 讀取客戶／交易歷史，產生 fraud analysis。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Case History Agent 搜尋過去 SAR 案例，取得相似案例與相似度。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Compliance Research Agent 查閱規例／SOP 記憶。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Report Generation Agent 綜合工作記憶，產出 FILE SAR 或其他處置建議。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MemGuard 把所有讀取、搜尋、工作記憶寫入與最終輸出串成可審查鏈路。</w:t>
      </w:r>
    </w:p>
    <w:p>
      <w:pPr>
        <w:pStyle w:val="Heading2"/>
        <w:keepNext/>
      </w:pPr>
      <w:r>
        <w:t>同一份證據，服務三種角色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360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他看到的價值</w:t>
            </w:r>
          </w:p>
        </w:tc>
        <w:tc>
          <w:tcPr>
            <w:tcW w:type="dxa" w:w="406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典型問題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AI 工程師</w:t>
            </w:r>
          </w:p>
        </w:tc>
        <w:tc>
          <w:tcPr>
            <w:tcW w:type="dxa" w:w="36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事件時間線、狀態 Diff、缺失鏈路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哪個 checkpoint 或記憶版本讓結果偏掉？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平台／資安</w:t>
            </w:r>
          </w:p>
        </w:tc>
        <w:tc>
          <w:tcPr>
            <w:tcW w:type="dxa" w:w="36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衝突、租戶隔離、異常寫入與操作量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是否有跨 Agent 覆寫、污染或資料邊界問題？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合規／業務</w:t>
            </w:r>
          </w:p>
        </w:tc>
        <w:tc>
          <w:tcPr>
            <w:tcW w:type="dxa" w:w="360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輸入證據、輸出摘要、後續寫入與 Audit Report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這個建議有什麼持久化證據可供人員覆核？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2E74B5"/>
              <w:left w:val="single" w:sz="8" w:color="2E74B5"/>
              <w:bottom w:val="single" w:sz="8" w:color="2E74B5"/>
              <w:right w:val="single" w:sz="8" w:color="2E74B5"/>
              <w:insideH w:val="single" w:sz="8" w:color="2E74B5"/>
              <w:insideV w:val="single" w:sz="8" w:color="2E74B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264" w:lineRule="auto"/>
            </w:pPr>
            <w:r>
              <w:rPr>
                <w:rFonts w:ascii="Calibri" w:hAnsi="Calibri" w:eastAsia="Arial Unicode MS"/>
                <w:b/>
                <w:color w:val="2E74B5"/>
              </w:rPr>
              <w:t xml:space="preserve">對外講法  </w:t>
            </w:r>
            <w:r>
              <w:rPr>
                <w:rFonts w:ascii="Calibri" w:hAnsi="Calibri" w:eastAsia="Arial Unicode MS"/>
                <w:color w:val="1F2937"/>
              </w:rPr>
              <w:t>Without MemGuard：『AI 標記了這筆交易，但我們很難重建它當時看到的記憶。』 With MemGuard：『我們可以逐項查看輸出生成時已持久化的案例、規例與工作狀態，以及輸出後寫入了什麼。』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目前成熟度、限制與下一步</w:t>
      </w:r>
    </w:p>
    <w:p>
      <w:pPr>
        <w:pStyle w:val="Heading2"/>
        <w:keepNext/>
      </w:pPr>
      <w:r>
        <w:t>可合理宣稱的現況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3850"/>
        <w:gridCol w:w="4060"/>
      </w:tblGrid>
      <w:tr>
        <w:trPr>
          <w:tblHeader w:val="true"/>
        </w:trPr>
        <w:tc>
          <w:tcPr>
            <w:tcW w:type="dxa" w:w="145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面向</w:t>
            </w:r>
          </w:p>
        </w:tc>
        <w:tc>
          <w:tcPr>
            <w:tcW w:type="dxa" w:w="385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現在可以說</w:t>
            </w:r>
          </w:p>
        </w:tc>
        <w:tc>
          <w:tcPr>
            <w:tcW w:type="dxa" w:w="406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暫時不要過度承諾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產品</w:t>
            </w:r>
          </w:p>
        </w:tc>
        <w:tc>
          <w:tcPr>
            <w:tcW w:type="dxa" w:w="38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可本機展示的端到端 Memory Observability MVP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已是完整企業治理平台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整合</w:t>
            </w:r>
          </w:p>
        </w:tc>
        <w:tc>
          <w:tcPr>
            <w:tcW w:type="dxa" w:w="38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LangGraph Adapter 與通用 Interceptor／Transport 基礎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已支援所有主流 Agent／Memory Framework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證據</w:t>
            </w:r>
          </w:p>
        </w:tc>
        <w:tc>
          <w:tcPr>
            <w:tcW w:type="dxa" w:w="38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可重建持久化事件與輸出前後 lineage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能證明模型內部真正的因果推理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安全</w:t>
            </w:r>
          </w:p>
        </w:tc>
        <w:tc>
          <w:tcPr>
            <w:tcW w:type="dxa" w:w="38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OIDC、租戶隔離、衝突與簡單可疑內容規則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已具完整 RBAC、策略引擎、不可竄改帳本與企業 SIEM 整合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稽核</w:t>
            </w:r>
          </w:p>
        </w:tc>
        <w:tc>
          <w:tcPr>
            <w:tcW w:type="dxa" w:w="38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可產生模板式 session report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已完成法規級自動合規判定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部署</w:t>
            </w:r>
          </w:p>
        </w:tc>
        <w:tc>
          <w:tcPr>
            <w:tcW w:type="dxa" w:w="38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Docker Compose：Keycloak + PostgreSQL + FastAPI + Next.js</w:t>
            </w:r>
          </w:p>
        </w:tc>
        <w:tc>
          <w:tcPr>
            <w:tcW w:type="dxa" w:w="40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已完成多區域、高可用、雲端托管與 SLA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最重要的工程限制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目前主 SDK Adapter 以 LangGraph 為核心；Mem0、AutoGen、CrewAI、Zep 等仍屬擴展方向。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Influence score／evidence ranking 是解釋性排序訊號，不應包裝成已被科學驗證的模型因果貢獻值。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衝突偵測目前主要依記憶鍵、Agent 與時間窗規則；語義衝突、版本合併與自動修復仍可深化。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稽核摘要以模板生成為主；LLM 增強敘事在程式中保留接口，但不是完整交付能力。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 w:eastAsia="Arial Unicode MS"/>
          <w:color w:val="1F2937"/>
        </w:rPr>
        <w:t>這次環境缺少 pytest 套件，因此本文對功能的判斷以程式碼、Docker 配置與既有測試檔為依據，未重新跑完整測試套件。</w:t>
      </w:r>
    </w:p>
    <w:p>
      <w:pPr>
        <w:pStyle w:val="Heading2"/>
        <w:keepNext/>
      </w:pPr>
      <w:r>
        <w:t>建議的下一階段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產品聚焦：先把『Output → Evidence → Memory Writes』調查工作流做成唯一主故事。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證據可信度：加入不可竄改事件鏈、簽章、保留策略與 evidence completeness 指標。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框架覆蓋：優先補 Mem0，再依客戶選擇 AutoGen／CrewAI／Zep。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治理能力：增加 policy engine、RBAC、告警、人工覆核與 SIEM／ticketing 整合。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 w:eastAsia="Arial Unicode MS"/>
          <w:color w:val="1F2937"/>
        </w:rPr>
        <w:t>企業部署：完成 migration、備份還原、壓力測試、可觀測性、自動化 CI 與雲端拓撲。</w:t>
      </w:r>
    </w:p>
    <w:p>
      <w:r>
        <w:br w:type="page"/>
      </w:r>
    </w:p>
    <w:p>
      <w:pPr>
        <w:pStyle w:val="Heading1"/>
        <w:keepNext/>
      </w:pPr>
      <w:r>
        <w:t>技術版圖與快速理解</w:t>
      </w:r>
    </w:p>
    <w:p>
      <w:pPr>
        <w:pStyle w:val="Heading2"/>
        <w:keepNext/>
      </w:pPr>
      <w:r>
        <w:t>主要技術組件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50"/>
        <w:gridCol w:w="3150"/>
        <w:gridCol w:w="4660"/>
      </w:tblGrid>
      <w:tr>
        <w:trPr>
          <w:tblHeader w:val="true"/>
        </w:trPr>
        <w:tc>
          <w:tcPr>
            <w:tcW w:type="dxa" w:w="155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區塊</w:t>
            </w:r>
          </w:p>
        </w:tc>
        <w:tc>
          <w:tcPr>
            <w:tcW w:type="dxa" w:w="315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技術／目錄</w:t>
            </w:r>
          </w:p>
        </w:tc>
        <w:tc>
          <w:tcPr>
            <w:tcW w:type="dxa" w:w="4660"/>
            <w:shd w:fill="F2F4F7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Arial Unicode MS"/>
                <w:b/>
                <w:color w:val="0B2545"/>
                <w:sz w:val="19"/>
              </w:rPr>
              <w:t>責任</w:t>
            </w:r>
          </w:p>
        </w:tc>
      </w:tr>
      <w:tr>
        <w:trPr/>
        <w:tc>
          <w:tcPr>
            <w:tcW w:type="dxa" w:w="15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SDK</w:t>
            </w:r>
          </w:p>
        </w:tc>
        <w:tc>
          <w:tcPr>
            <w:tcW w:type="dxa" w:w="31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sdk/memguard</w:t>
            </w:r>
          </w:p>
        </w:tc>
        <w:tc>
          <w:tcPr>
            <w:tcW w:type="dxa" w:w="46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事件模型、攔截、LangGraph Adapter、Transport、Influence</w:t>
            </w:r>
          </w:p>
        </w:tc>
      </w:tr>
      <w:tr>
        <w:trPr/>
        <w:tc>
          <w:tcPr>
            <w:tcW w:type="dxa" w:w="15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Backend</w:t>
            </w:r>
          </w:p>
        </w:tc>
        <w:tc>
          <w:tcPr>
            <w:tcW w:type="dxa" w:w="31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backend/app · FastAPI</w:t>
            </w:r>
          </w:p>
        </w:tc>
        <w:tc>
          <w:tcPr>
            <w:tcW w:type="dxa" w:w="46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ingestion、查詢、分析、稽核、OIDC tenant enforcement</w:t>
            </w:r>
          </w:p>
        </w:tc>
      </w:tr>
      <w:tr>
        <w:trPr/>
        <w:tc>
          <w:tcPr>
            <w:tcW w:type="dxa" w:w="15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Database</w:t>
            </w:r>
          </w:p>
        </w:tc>
        <w:tc>
          <w:tcPr>
            <w:tcW w:type="dxa" w:w="31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SQLite / PostgreSQL</w:t>
            </w:r>
          </w:p>
        </w:tc>
        <w:tc>
          <w:tcPr>
            <w:tcW w:type="dxa" w:w="46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MemoryEvent、DecisionTrace 與 migration</w:t>
            </w:r>
          </w:p>
        </w:tc>
      </w:tr>
      <w:tr>
        <w:trPr/>
        <w:tc>
          <w:tcPr>
            <w:tcW w:type="dxa" w:w="15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Identity</w:t>
            </w:r>
          </w:p>
        </w:tc>
        <w:tc>
          <w:tcPr>
            <w:tcW w:type="dxa" w:w="31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Keycloak</w:t>
            </w:r>
          </w:p>
        </w:tc>
        <w:tc>
          <w:tcPr>
            <w:tcW w:type="dxa" w:w="46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OIDC 登入、JWT、tenant claim</w:t>
            </w:r>
          </w:p>
        </w:tc>
      </w:tr>
      <w:tr>
        <w:trPr/>
        <w:tc>
          <w:tcPr>
            <w:tcW w:type="dxa" w:w="15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Frontend</w:t>
            </w:r>
          </w:p>
        </w:tc>
        <w:tc>
          <w:tcPr>
            <w:tcW w:type="dxa" w:w="31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frontend · Next.js</w:t>
            </w:r>
          </w:p>
        </w:tc>
        <w:tc>
          <w:tcPr>
            <w:tcW w:type="dxa" w:w="46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Evidence Console、Timeline、Diff、Conflict、Audit</w:t>
            </w:r>
          </w:p>
        </w:tc>
      </w:tr>
      <w:tr>
        <w:trPr/>
        <w:tc>
          <w:tcPr>
            <w:tcW w:type="dxa" w:w="15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Demo</w:t>
            </w:r>
          </w:p>
        </w:tc>
        <w:tc>
          <w:tcPr>
            <w:tcW w:type="dxa" w:w="31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demo_simple.py / demo_with_dashboard.py / fincompli-baseline</w:t>
            </w:r>
          </w:p>
        </w:tc>
        <w:tc>
          <w:tcPr>
            <w:tcW w:type="dxa" w:w="46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終端展示、Dashboard 展示、金融合規案例</w:t>
            </w:r>
          </w:p>
        </w:tc>
      </w:tr>
      <w:tr>
        <w:trPr/>
        <w:tc>
          <w:tcPr>
            <w:tcW w:type="dxa" w:w="15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Deployment</w:t>
            </w:r>
          </w:p>
        </w:tc>
        <w:tc>
          <w:tcPr>
            <w:tcW w:type="dxa" w:w="315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docker-compose.yml</w:t>
            </w:r>
          </w:p>
        </w:tc>
        <w:tc>
          <w:tcPr>
            <w:tcW w:type="dxa" w:w="4660"/>
            <w:vAlign w:val="cente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  <w:insideH w:val="single" w:sz="6" w:color="D0D7DE"/>
              <w:insideV w:val="single" w:sz="6" w:color="D0D7DE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Calibri" w:hAnsi="Calibri" w:eastAsia="Arial Unicode MS"/>
                <w:color w:val="1F2937"/>
                <w:sz w:val="19"/>
              </w:rPr>
              <w:t>本機／Pilot 四服務編排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如果要向別人介紹這個專案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0B2545"/>
              <w:left w:val="single" w:sz="8" w:color="0B2545"/>
              <w:bottom w:val="single" w:sz="8" w:color="0B2545"/>
              <w:right w:val="single" w:sz="8" w:color="0B2545"/>
              <w:insideH w:val="single" w:sz="8" w:color="0B2545"/>
              <w:insideV w:val="single" w:sz="8" w:color="0B254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264" w:lineRule="auto"/>
            </w:pPr>
            <w:r>
              <w:rPr>
                <w:rFonts w:ascii="Calibri" w:hAnsi="Calibri" w:eastAsia="Arial Unicode MS"/>
                <w:b/>
                <w:color w:val="0B2545"/>
              </w:rPr>
              <w:t xml:space="preserve">30 秒版本  </w:t>
            </w:r>
            <w:r>
              <w:rPr>
                <w:rFonts w:ascii="Calibri" w:hAnsi="Calibri" w:eastAsia="Arial Unicode MS"/>
                <w:color w:val="1F2937"/>
              </w:rPr>
              <w:t>MemGuard 是 AI Agent 的記憶可觀測性與安全層。它記錄 Agent 對長期與工作記憶的每一次讀寫，並把這些事件串成輸出前後的證據鏈。這讓工程師能除錯、資安團隊能發現衝突或污染、合規人員能覆核高風險 Agent 輸出。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8" w:color="7A5A00"/>
              <w:left w:val="single" w:sz="8" w:color="7A5A00"/>
              <w:bottom w:val="single" w:sz="8" w:color="7A5A00"/>
              <w:right w:val="single" w:sz="8" w:color="7A5A00"/>
              <w:insideH w:val="single" w:sz="8" w:color="7A5A00"/>
              <w:insideV w:val="single" w:sz="8" w:color="7A5A00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264" w:lineRule="auto"/>
            </w:pPr>
            <w:r>
              <w:rPr>
                <w:rFonts w:ascii="Calibri" w:hAnsi="Calibri" w:eastAsia="Arial Unicode MS"/>
                <w:b/>
                <w:color w:val="7A5A00"/>
              </w:rPr>
              <w:t xml:space="preserve">投資／產品版本  </w:t>
            </w:r>
            <w:r>
              <w:rPr>
                <w:rFonts w:ascii="Calibri" w:hAnsi="Calibri" w:eastAsia="Arial Unicode MS"/>
                <w:color w:val="1F2937"/>
              </w:rPr>
              <w:t>當 Agent 開始依賴跨回合記憶，記憶就變成新的企業風險面。MemGuard 想成為這一層的 Datadog + audit trail：先從除錯與 evidence console 切入，再走向政策、權限、保留與治理。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一句話結論</w:t>
      </w:r>
    </w:p>
    <w:p>
      <w:pPr>
        <w:keepLines w:val="0"/>
        <w:spacing w:after="120" w:line="264" w:lineRule="auto"/>
      </w:pPr>
      <w:r>
        <w:rPr>
          <w:rFonts w:ascii="Calibri" w:hAnsi="Calibri" w:eastAsia="Arial Unicode MS"/>
          <w:b/>
          <w:color w:val="1F2937"/>
        </w:rPr>
        <w:t>你正在把『AI 為什麼這樣做』</w:t>
      </w:r>
      <w:r>
        <w:rPr>
          <w:rFonts w:ascii="Calibri" w:hAnsi="Calibri" w:eastAsia="Arial Unicode MS"/>
          <w:color w:val="1F2937"/>
        </w:rPr>
        <w:t>從模糊的模型說法，轉成可查驗的記憶事件、版本差異與證據鏈。這個切入點既有立即的工程價值，也能延伸到安全與合規治理。</w:t>
      </w:r>
    </w:p>
    <w:p>
      <w:pPr>
        <w:pStyle w:val="Heading2"/>
        <w:keepNext/>
      </w:pPr>
      <w:r>
        <w:t>依據範圍</w:t>
      </w:r>
    </w:p>
    <w:p>
      <w:pPr>
        <w:keepLines w:val="0"/>
        <w:spacing w:after="0" w:line="264" w:lineRule="auto"/>
      </w:pPr>
      <w:r>
        <w:rPr>
          <w:rFonts w:ascii="Calibri" w:hAnsi="Calibri" w:eastAsia="Arial Unicode MS"/>
          <w:color w:val="5C6875"/>
        </w:rPr>
        <w:t>本文件依據 2026-07-31 工作區快照整理，主要參考 README、SDK／Backend／Frontend 程式碼、Docker Compose、技術設計、產品規格、測試檔與 Dashboard redesign spec。既有較早期進度文件互相存在狀態差異，因此本文優先採用目前程式碼中可直接辨識的能力。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Arial Unicode MS"/>
        <w:color w:val="5C6875"/>
        <w:sz w:val="17"/>
      </w:rPr>
      <w:t xml:space="preserve">2026-07-31   ·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Arial Unicode MS"/>
        <w:b/>
        <w:color w:val="5C6875"/>
        <w:sz w:val="17"/>
      </w:rPr>
      <w:t>MEMGUARD  ·  PRODUCT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MemGuard 產品概覽</dc:title>
  <dc:subject>AI Agent 記憶可觀測性、安全與稽核證據層</dc:subject>
  <dc:creator>Codex</dc:creator>
  <cp:keywords>MemGuard, AI Agent, Memory Observability, Security,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