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60"/>
        <w:jc w:val="center"/>
      </w:pPr>
      <w:r>
        <w:rPr>
          <w:rFonts w:ascii="Arial" w:cs="Arial" w:eastAsia="Arial" w:hAnsi="Arial"/>
          <w:b/>
          <w:bCs/>
          <w:caps/>
          <w:color w:val="94A3B8"/>
          <w:sz w:val="22"/>
          <w:szCs w:val="22"/>
        </w:rPr>
        <w:t xml:space="preserve">SYSTEM DESIGN DOCUMENT</w:t>
      </w:r>
    </w:p>
    <w:p>
      <w:pPr>
        <w:spacing w:after="60"/>
        <w:jc w:val="center"/>
      </w:pPr>
      <w:r>
        <w:rPr>
          <w:rFonts w:ascii="Arial" w:cs="Arial" w:eastAsia="Arial" w:hAnsi="Arial"/>
          <w:b/>
          <w:bCs/>
          <w:color w:val="0B1D35"/>
          <w:sz w:val="80"/>
          <w:szCs w:val="80"/>
        </w:rPr>
        <w:t xml:space="preserve">VaultID</w:t>
      </w:r>
    </w:p>
    <w:p>
      <w:pPr>
        <w:spacing w:after="80"/>
        <w:jc w:val="center"/>
      </w:pPr>
      <w:r>
        <w:rPr>
          <w:rFonts w:ascii="Arial" w:cs="Arial" w:eastAsia="Arial" w:hAnsi="Arial"/>
          <w:color w:val="1549A0"/>
          <w:sz w:val="30"/>
          <w:szCs w:val="30"/>
        </w:rPr>
        <w:t xml:space="preserve">Personal Data Wallet — Self-Sovereign Identity Platform</w:t>
      </w:r>
    </w:p>
    <w:p>
      <w:pPr>
        <w:pBdr>
          <w:bottom w:val="single" w:color="0891B2" w:sz="8" w:space="1"/>
        </w:pBdr>
        <w:spacing w:before="200" w:after="20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0B1D35" w:val="clear"/>
            <w:tcMar>
              <w:top w:type="dxa" w:w="90"/>
              <w:left w:type="dxa" w:w="140"/>
              <w:bottom w:type="dxa" w:w="90"/>
              <w:right w:type="dxa" w:w="140"/>
            </w:tcMar>
          </w:tcPr>
          <w:p>
            <w:r>
              <w:rPr>
                <w:rFonts w:ascii="Arial" w:cs="Arial" w:eastAsia="Arial" w:hAnsi="Arial"/>
                <w:b/>
                <w:bCs/>
                <w:color w:val="FFFFFF"/>
                <w:sz w:val="19"/>
                <w:szCs w:val="19"/>
              </w:rPr>
              <w:t xml:space="preserve">Document Type</w:t>
            </w:r>
          </w:p>
        </w:tc>
        <w:tc>
          <w:tcPr>
            <w:tcW w:type="dxa" w:w="7020"/>
            <w:tcBorders>
              <w:top w:val="single" w:color="CBD5E1" w:sz="1"/>
              <w:left w:val="single" w:color="CBD5E1" w:sz="1"/>
              <w:bottom w:val="single" w:color="CBD5E1" w:sz="1"/>
              <w:right w:val="single" w:color="CBD5E1" w:sz="1"/>
            </w:tcBorders>
            <w:tcMar>
              <w:top w:type="dxa" w:w="90"/>
              <w:left w:type="dxa" w:w="140"/>
              <w:bottom w:type="dxa" w:w="90"/>
              <w:right w:type="dxa" w:w="140"/>
            </w:tcMar>
          </w:tcPr>
          <w:p>
            <w:r>
              <w:rPr>
                <w:rFonts w:ascii="Arial" w:cs="Arial" w:eastAsia="Arial" w:hAnsi="Arial"/>
                <w:color w:val="374151"/>
                <w:sz w:val="19"/>
                <w:szCs w:val="19"/>
              </w:rPr>
              <w:t xml:space="preserve">System Design Document — Architecture Reference</w:t>
            </w:r>
          </w:p>
        </w:tc>
      </w:tr>
      <w:tr>
        <w:tc>
          <w:tcPr>
            <w:tcW w:type="dxa" w:w="2340"/>
            <w:tcBorders>
              <w:top w:val="single" w:color="CBD5E1" w:sz="1"/>
              <w:left w:val="single" w:color="CBD5E1" w:sz="1"/>
              <w:bottom w:val="single" w:color="CBD5E1" w:sz="1"/>
              <w:right w:val="single" w:color="CBD5E1" w:sz="1"/>
            </w:tcBorders>
            <w:shd w:fill="0B1D35" w:val="clear"/>
            <w:tcMar>
              <w:top w:type="dxa" w:w="90"/>
              <w:left w:type="dxa" w:w="140"/>
              <w:bottom w:type="dxa" w:w="90"/>
              <w:right w:type="dxa" w:w="140"/>
            </w:tcMar>
          </w:tcPr>
          <w:p>
            <w:r>
              <w:rPr>
                <w:rFonts w:ascii="Arial" w:cs="Arial" w:eastAsia="Arial" w:hAnsi="Arial"/>
                <w:b/>
                <w:bCs/>
                <w:color w:val="FFFFFF"/>
                <w:sz w:val="19"/>
                <w:szCs w:val="19"/>
              </w:rPr>
              <w:t xml:space="preserve">Version</w:t>
            </w:r>
          </w:p>
        </w:tc>
        <w:tc>
          <w:tcPr>
            <w:tcW w:type="dxa" w:w="7020"/>
            <w:tcBorders>
              <w:top w:val="single" w:color="CBD5E1" w:sz="1"/>
              <w:left w:val="single" w:color="CBD5E1" w:sz="1"/>
              <w:bottom w:val="single" w:color="CBD5E1" w:sz="1"/>
              <w:right w:val="single" w:color="CBD5E1" w:sz="1"/>
            </w:tcBorders>
            <w:tcMar>
              <w:top w:type="dxa" w:w="90"/>
              <w:left w:type="dxa" w:w="140"/>
              <w:bottom w:type="dxa" w:w="90"/>
              <w:right w:type="dxa" w:w="140"/>
            </w:tcMar>
          </w:tcPr>
          <w:p>
            <w:r>
              <w:rPr>
                <w:rFonts w:ascii="Arial" w:cs="Arial" w:eastAsia="Arial" w:hAnsi="Arial"/>
                <w:color w:val="374151"/>
                <w:sz w:val="19"/>
                <w:szCs w:val="19"/>
              </w:rPr>
              <w:t xml:space="preserve">1.0</w:t>
            </w:r>
          </w:p>
        </w:tc>
      </w:tr>
      <w:tr>
        <w:tc>
          <w:tcPr>
            <w:tcW w:type="dxa" w:w="2340"/>
            <w:tcBorders>
              <w:top w:val="single" w:color="CBD5E1" w:sz="1"/>
              <w:left w:val="single" w:color="CBD5E1" w:sz="1"/>
              <w:bottom w:val="single" w:color="CBD5E1" w:sz="1"/>
              <w:right w:val="single" w:color="CBD5E1" w:sz="1"/>
            </w:tcBorders>
            <w:shd w:fill="0B1D35" w:val="clear"/>
            <w:tcMar>
              <w:top w:type="dxa" w:w="90"/>
              <w:left w:type="dxa" w:w="140"/>
              <w:bottom w:type="dxa" w:w="90"/>
              <w:right w:type="dxa" w:w="140"/>
            </w:tcMar>
          </w:tcPr>
          <w:p>
            <w:r>
              <w:rPr>
                <w:rFonts w:ascii="Arial" w:cs="Arial" w:eastAsia="Arial" w:hAnsi="Arial"/>
                <w:b/>
                <w:bCs/>
                <w:color w:val="FFFFFF"/>
                <w:sz w:val="19"/>
                <w:szCs w:val="19"/>
              </w:rPr>
              <w:t xml:space="preserve">Date</w:t>
            </w:r>
          </w:p>
        </w:tc>
        <w:tc>
          <w:tcPr>
            <w:tcW w:type="dxa" w:w="7020"/>
            <w:tcBorders>
              <w:top w:val="single" w:color="CBD5E1" w:sz="1"/>
              <w:left w:val="single" w:color="CBD5E1" w:sz="1"/>
              <w:bottom w:val="single" w:color="CBD5E1" w:sz="1"/>
              <w:right w:val="single" w:color="CBD5E1" w:sz="1"/>
            </w:tcBorders>
            <w:tcMar>
              <w:top w:type="dxa" w:w="90"/>
              <w:left w:type="dxa" w:w="140"/>
              <w:bottom w:type="dxa" w:w="90"/>
              <w:right w:type="dxa" w:w="140"/>
            </w:tcMar>
          </w:tcPr>
          <w:p>
            <w:r>
              <w:rPr>
                <w:rFonts w:ascii="Arial" w:cs="Arial" w:eastAsia="Arial" w:hAnsi="Arial"/>
                <w:color w:val="374151"/>
                <w:sz w:val="19"/>
                <w:szCs w:val="19"/>
              </w:rPr>
              <w:t xml:space="preserve">March 2026</w:t>
            </w:r>
          </w:p>
        </w:tc>
      </w:tr>
      <w:tr>
        <w:tc>
          <w:tcPr>
            <w:tcW w:type="dxa" w:w="2340"/>
            <w:tcBorders>
              <w:top w:val="single" w:color="CBD5E1" w:sz="1"/>
              <w:left w:val="single" w:color="CBD5E1" w:sz="1"/>
              <w:bottom w:val="single" w:color="CBD5E1" w:sz="1"/>
              <w:right w:val="single" w:color="CBD5E1" w:sz="1"/>
            </w:tcBorders>
            <w:shd w:fill="0B1D35" w:val="clear"/>
            <w:tcMar>
              <w:top w:type="dxa" w:w="90"/>
              <w:left w:type="dxa" w:w="140"/>
              <w:bottom w:type="dxa" w:w="90"/>
              <w:right w:type="dxa" w:w="140"/>
            </w:tcMar>
          </w:tcPr>
          <w:p>
            <w:r>
              <w:rPr>
                <w:rFonts w:ascii="Arial" w:cs="Arial" w:eastAsia="Arial" w:hAnsi="Arial"/>
                <w:b/>
                <w:bCs/>
                <w:color w:val="FFFFFF"/>
                <w:sz w:val="19"/>
                <w:szCs w:val="19"/>
              </w:rPr>
              <w:t xml:space="preserve">Classification</w:t>
            </w:r>
          </w:p>
        </w:tc>
        <w:tc>
          <w:tcPr>
            <w:tcW w:type="dxa" w:w="7020"/>
            <w:tcBorders>
              <w:top w:val="single" w:color="CBD5E1" w:sz="1"/>
              <w:left w:val="single" w:color="CBD5E1" w:sz="1"/>
              <w:bottom w:val="single" w:color="CBD5E1" w:sz="1"/>
              <w:right w:val="single" w:color="CBD5E1" w:sz="1"/>
            </w:tcBorders>
            <w:tcMar>
              <w:top w:type="dxa" w:w="90"/>
              <w:left w:type="dxa" w:w="140"/>
              <w:bottom w:type="dxa" w:w="90"/>
              <w:right w:type="dxa" w:w="140"/>
            </w:tcMar>
          </w:tcPr>
          <w:p>
            <w:r>
              <w:rPr>
                <w:rFonts w:ascii="Arial" w:cs="Arial" w:eastAsia="Arial" w:hAnsi="Arial"/>
                <w:color w:val="374151"/>
                <w:sz w:val="19"/>
                <w:szCs w:val="19"/>
              </w:rPr>
              <w:t xml:space="preserve">Confidential — Engineering Internal</w:t>
            </w:r>
          </w:p>
        </w:tc>
      </w:tr>
      <w:tr>
        <w:tc>
          <w:tcPr>
            <w:tcW w:type="dxa" w:w="2340"/>
            <w:tcBorders>
              <w:top w:val="single" w:color="CBD5E1" w:sz="1"/>
              <w:left w:val="single" w:color="CBD5E1" w:sz="1"/>
              <w:bottom w:val="single" w:color="CBD5E1" w:sz="1"/>
              <w:right w:val="single" w:color="CBD5E1" w:sz="1"/>
            </w:tcBorders>
            <w:shd w:fill="0B1D35" w:val="clear"/>
            <w:tcMar>
              <w:top w:type="dxa" w:w="90"/>
              <w:left w:type="dxa" w:w="140"/>
              <w:bottom w:type="dxa" w:w="90"/>
              <w:right w:type="dxa" w:w="140"/>
            </w:tcMar>
          </w:tcPr>
          <w:p>
            <w:r>
              <w:rPr>
                <w:rFonts w:ascii="Arial" w:cs="Arial" w:eastAsia="Arial" w:hAnsi="Arial"/>
                <w:b/>
                <w:bCs/>
                <w:color w:val="FFFFFF"/>
                <w:sz w:val="19"/>
                <w:szCs w:val="19"/>
              </w:rPr>
              <w:t xml:space="preserve">Audience</w:t>
            </w:r>
          </w:p>
        </w:tc>
        <w:tc>
          <w:tcPr>
            <w:tcW w:type="dxa" w:w="7020"/>
            <w:tcBorders>
              <w:top w:val="single" w:color="CBD5E1" w:sz="1"/>
              <w:left w:val="single" w:color="CBD5E1" w:sz="1"/>
              <w:bottom w:val="single" w:color="CBD5E1" w:sz="1"/>
              <w:right w:val="single" w:color="CBD5E1" w:sz="1"/>
            </w:tcBorders>
            <w:tcMar>
              <w:top w:type="dxa" w:w="90"/>
              <w:left w:type="dxa" w:w="140"/>
              <w:bottom w:type="dxa" w:w="90"/>
              <w:right w:type="dxa" w:w="140"/>
            </w:tcMar>
          </w:tcPr>
          <w:p>
            <w:r>
              <w:rPr>
                <w:rFonts w:ascii="Arial" w:cs="Arial" w:eastAsia="Arial" w:hAnsi="Arial"/>
                <w:color w:val="374151"/>
                <w:sz w:val="19"/>
                <w:szCs w:val="19"/>
              </w:rPr>
              <w:t xml:space="preserve">Engineering Leads, Architects, Security Team</w:t>
            </w:r>
          </w:p>
        </w:tc>
      </w:tr>
    </w:tbl>
    <w:p>
      <w:pPr>
        <w:spacing w:after="300"/>
      </w:pPr>
      <w:r>
        <w:t xml:space="preserve"/>
      </w:r>
    </w:p>
    <w:p>
      <w:r>
        <w:br w:type="page"/>
      </w:r>
    </w:p>
    <w:p>
      <w:pPr>
        <w:spacing w:before="400" w:after="140"/>
      </w:pPr>
      <w:r>
        <w:rPr>
          <w:rFonts w:ascii="Arial" w:cs="Arial" w:eastAsia="Arial" w:hAnsi="Arial"/>
          <w:b/>
          <w:bCs/>
          <w:color w:val="0B1D35"/>
          <w:sz w:val="40"/>
          <w:szCs w:val="40"/>
        </w:rPr>
        <w:t xml:space="preserve">1. Purpose &amp; Scope</w:t>
      </w:r>
    </w:p>
    <w:p>
      <w:pPr>
        <w:spacing w:after="90"/>
      </w:pPr>
      <w:r>
        <w:rPr>
          <w:rFonts w:ascii="Arial" w:cs="Arial" w:eastAsia="Arial" w:hAnsi="Arial"/>
          <w:color w:val="374151"/>
          <w:sz w:val="20"/>
          <w:szCs w:val="20"/>
        </w:rPr>
        <w:t xml:space="preserve">This document describes the complete system design of VaultID — a Self-Sovereign Identity platform enabling users to own, store, and selectively share personal data using cryptographic proofs. It covers system goals, component architecture, service interactions, scalability design, security model, and failure handling strategies.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9A0" w:sz="4"/>
              <w:left w:val="single" w:color="1549A0" w:sz="20"/>
              <w:bottom w:val="single" w:color="1549A0" w:sz="4"/>
              <w:right w:val="none"/>
            </w:tcBorders>
            <w:shd w:fill="EFF6FF" w:val="clear"/>
            <w:tcMar>
              <w:top w:type="dxa" w:w="100"/>
              <w:left w:type="dxa" w:w="200"/>
              <w:bottom w:type="dxa" w:w="100"/>
              <w:right w:type="dxa" w:w="200"/>
            </w:tcMar>
          </w:tcPr>
          <w:p>
            <w:pPr>
              <w:spacing w:after="55"/>
            </w:pPr>
            <w:r>
              <w:rPr>
                <w:rFonts w:ascii="Arial" w:cs="Arial" w:eastAsia="Arial" w:hAnsi="Arial"/>
                <w:color w:val="0B1D35"/>
                <w:sz w:val="19"/>
                <w:szCs w:val="19"/>
              </w:rPr>
              <w:t xml:space="preserve">Design Principles underpinning every architectural decision:</w:t>
            </w:r>
          </w:p>
          <w:p>
            <w:pPr>
              <w:spacing w:after="55"/>
            </w:pPr>
            <w:r>
              <w:rPr>
                <w:rFonts w:ascii="Arial" w:cs="Arial" w:eastAsia="Arial" w:hAnsi="Arial"/>
                <w:color w:val="0B1D35"/>
                <w:sz w:val="19"/>
                <w:szCs w:val="19"/>
              </w:rPr>
              <w:t xml:space="preserve">  · Zero-knowledge by default — components share proofs, never raw data</w:t>
            </w:r>
          </w:p>
          <w:p>
            <w:pPr>
              <w:spacing w:after="55"/>
            </w:pPr>
            <w:r>
              <w:rPr>
                <w:rFonts w:ascii="Arial" w:cs="Arial" w:eastAsia="Arial" w:hAnsi="Arial"/>
                <w:color w:val="0B1D35"/>
                <w:sz w:val="19"/>
                <w:szCs w:val="19"/>
              </w:rPr>
              <w:t xml:space="preserve">  · No single point of trust — the system functions even if any single service is unavailable</w:t>
            </w:r>
          </w:p>
          <w:p>
            <w:pPr>
              <w:spacing w:after="55"/>
            </w:pPr>
            <w:r>
              <w:rPr>
                <w:rFonts w:ascii="Arial" w:cs="Arial" w:eastAsia="Arial" w:hAnsi="Arial"/>
                <w:color w:val="0B1D35"/>
                <w:sz w:val="19"/>
                <w:szCs w:val="19"/>
              </w:rPr>
              <w:t xml:space="preserve">  · Device-first — all sensitive data lives on the user device; backend holds only metadata</w:t>
            </w:r>
          </w:p>
          <w:p>
            <w:pPr>
              <w:spacing w:after="55"/>
            </w:pPr>
            <w:r>
              <w:rPr>
                <w:rFonts w:ascii="Arial" w:cs="Arial" w:eastAsia="Arial" w:hAnsi="Arial"/>
                <w:color w:val="0B1D35"/>
                <w:sz w:val="19"/>
                <w:szCs w:val="19"/>
              </w:rPr>
              <w:t xml:space="preserve">  · Standards-compliant — W3C DID, W3C VC 2.0, OpenID4VC, DIDComm v2 throughout</w:t>
            </w:r>
          </w:p>
          <w:p>
            <w:pPr>
              <w:spacing w:after="55"/>
            </w:pPr>
            <w:r>
              <w:rPr>
                <w:rFonts w:ascii="Arial" w:cs="Arial" w:eastAsia="Arial" w:hAnsi="Arial"/>
                <w:color w:val="0B1D35"/>
                <w:sz w:val="19"/>
                <w:szCs w:val="19"/>
              </w:rPr>
              <w:t xml:space="preserve">  · Horizontal scalability — every service scales independently based on load pattern</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2. System Context</w:t>
      </w:r>
    </w:p>
    <w:p>
      <w:pPr>
        <w:spacing w:after="90"/>
      </w:pPr>
      <w:r>
        <w:rPr>
          <w:rFonts w:ascii="Arial" w:cs="Arial" w:eastAsia="Arial" w:hAnsi="Arial"/>
          <w:color w:val="374151"/>
          <w:sz w:val="20"/>
          <w:szCs w:val="20"/>
        </w:rPr>
        <w:t xml:space="preserve">VaultID operates at the intersection of four distinct actor groups. Understanding their relationships is fundamental to every architectural decision.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Actor</w:t>
            </w:r>
          </w:p>
        </w:tc>
        <w:tc>
          <w:tcPr>
            <w:tcW w:type="dxa" w:w="2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Interacts With</w:t>
            </w:r>
          </w:p>
        </w:tc>
        <w:tc>
          <w:tcPr>
            <w:tcW w:type="dxa" w:w="21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Trust Level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End User (Wallet Holder)</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Human — consumer</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Wallet App, Issuer orgs, Verifier orgs</w:t>
            </w:r>
          </w:p>
        </w:tc>
        <w:tc>
          <w:tcPr>
            <w:tcW w:type="dxa" w:w="2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Root of trust — self-sovereign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Issuer Organization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Institution — university, employer, govt</w:t>
            </w:r>
          </w:p>
        </w:tc>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Portal, Credential Service, Wallet</w:t>
            </w:r>
          </w:p>
        </w:tc>
        <w:tc>
          <w:tcPr>
            <w:tcW w:type="dxa" w:w="21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Trusted — cryptographically verified DID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Verifier Organization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Business — employer, bank, service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Verifier SDK, Verify Service, Wallet</w:t>
            </w:r>
          </w:p>
        </w:tc>
        <w:tc>
          <w:tcPr>
            <w:tcW w:type="dxa" w:w="2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Untrusted initially — verified per transaction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Decentralized Ledger</w:t>
            </w:r>
          </w:p>
        </w:tc>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Infrastructure — Hyperledger Indy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Identity Svc, Credential Svc, Verify Svc</w:t>
            </w:r>
          </w:p>
        </w:tc>
        <w:tc>
          <w:tcPr>
            <w:tcW w:type="dxa" w:w="21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Trusted infrastructure — permissioned</w:t>
            </w:r>
          </w:p>
        </w:tc>
      </w:tr>
    </w:tbl>
    <w:p>
      <w:pPr>
        <w:spacing w:after="80"/>
      </w:pPr>
      <w:r>
        <w:t xml:space="preserve"/>
      </w:r>
    </w:p>
    <w:p>
      <w:pPr>
        <w:spacing w:after="90"/>
      </w:pPr>
      <w:r>
        <w:rPr>
          <w:rFonts w:ascii="Arial" w:cs="Arial" w:eastAsia="Arial" w:hAnsi="Arial"/>
          <w:color w:val="374151"/>
          <w:sz w:val="20"/>
          <w:szCs w:val="20"/>
        </w:rPr>
        <w:t xml:space="preserve">Key architectural principle: the backend never sits between user and verifier for credential data. The wallet talks directly to verifiers via DIDComm. Backend only facilitates issuance and provides notification relay.</w:t>
      </w:r>
    </w:p>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3. High-Level Architecture</w:t>
      </w:r>
    </w:p>
    <w:p>
      <w:pPr>
        <w:spacing w:before="280" w:after="100"/>
      </w:pPr>
      <w:r>
        <w:rPr>
          <w:rFonts w:ascii="Arial" w:cs="Arial" w:eastAsia="Arial" w:hAnsi="Arial"/>
          <w:b/>
          <w:bCs/>
          <w:color w:val="1549A0"/>
          <w:sz w:val="28"/>
          <w:szCs w:val="28"/>
        </w:rPr>
        <w:t xml:space="preserve">3.1 Layer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2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Components</w:t>
            </w:r>
          </w:p>
        </w:tc>
        <w:tc>
          <w:tcPr>
            <w:tcW w:type="dxa" w:w="3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Responsibility</w:t>
            </w:r>
          </w:p>
        </w:tc>
        <w:tc>
          <w:tcPr>
            <w:tcW w:type="dxa" w:w="23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Deployment Target</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Presentation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Wallet App, Issuer Portal, Verifier SDK</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User interaction; credential display; request handling</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iOS/Android, Vercel (portal), npm (SDK)</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Application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Identity Svc, Credential Svc, Verify Svc, Notify Svc</w:t>
            </w:r>
          </w:p>
        </w:tc>
        <w:tc>
          <w:tcPr>
            <w:tcW w:type="dxa" w:w="3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Business logic; protocol orchestration; event handling</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EKS (Kubernetes pods)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Protocol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Hyperledger Aries/Indy, DIDComm v2 relay</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Trust infrastructure; DID resolution; message routing</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Dedicated EC2 nodes + managed Indy pool</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Data</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PostgreSQL, Redis, Aries Askar, IPFS</w:t>
            </w:r>
          </w:p>
        </w:tc>
        <w:tc>
          <w:tcPr>
            <w:tcW w:type="dxa" w:w="3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Persistence; caching; on-device encrypted store</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RDS Multi-AZ, ElastiCache, on-device SQLCipher, IPFS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Infrastructure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AWS EKS, CloudFront, Route 53, CloudHSM</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Compute; networking; DNS; key management</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AWS eu-west-1 / ap-south-1</w:t>
            </w:r>
          </w:p>
        </w:tc>
      </w:tr>
    </w:tbl>
    <w:p>
      <w:pPr>
        <w:spacing w:after="80"/>
      </w:pPr>
      <w:r>
        <w:t xml:space="preserve"/>
      </w:r>
    </w:p>
    <w:p>
      <w:pPr>
        <w:spacing w:before="280" w:after="100"/>
      </w:pPr>
      <w:r>
        <w:rPr>
          <w:rFonts w:ascii="Arial" w:cs="Arial" w:eastAsia="Arial" w:hAnsi="Arial"/>
          <w:b/>
          <w:bCs/>
          <w:color w:val="1549A0"/>
          <w:sz w:val="28"/>
          <w:szCs w:val="28"/>
        </w:rPr>
        <w:t xml:space="preserve">3.2 Component Topology</w:t>
      </w:r>
    </w:p>
    <w:p>
      <w:pPr>
        <w:spacing w:after="90"/>
      </w:pPr>
      <w:r>
        <w:rPr>
          <w:rFonts w:ascii="Arial" w:cs="Arial" w:eastAsia="Arial" w:hAnsi="Arial"/>
          <w:color w:val="374151"/>
          <w:sz w:val="20"/>
          <w:szCs w:val="20"/>
        </w:rPr>
        <w:t xml:space="preserve">The system is partitioned into five independently-deployable service clusters. Each cluster owns its data store and communicates through defined APIs or message queue events.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CBD5E1" w:sz="1"/>
              <w:left w:val="single" w:color="CBD5E1" w:sz="1"/>
              <w:bottom w:val="single" w:color="CBD5E1" w:sz="1"/>
              <w:right w:val="single" w:color="CBD5E1" w:sz="1"/>
            </w:tcBorders>
            <w:shd w:fill="EFF6FF" w:val="clear"/>
            <w:tcMar>
              <w:top w:type="dxa" w:w="120"/>
              <w:left w:type="dxa" w:w="160"/>
              <w:bottom w:type="dxa" w:w="120"/>
              <w:right w:type="dxa" w:w="160"/>
            </w:tcMar>
          </w:tcPr>
          <w:p>
            <w:r>
              <w:rPr>
                <w:rFonts w:ascii="Arial" w:cs="Arial" w:eastAsia="Arial" w:hAnsi="Arial"/>
                <w:b/>
                <w:bCs/>
                <w:color w:val="1549A0"/>
                <w:sz w:val="18"/>
                <w:szCs w:val="18"/>
              </w:rPr>
              <w:t xml:space="preserve">CLIENT LAYER</w:t>
            </w:r>
          </w:p>
          <w:p>
            <w:pPr>
              <w:spacing w:after="40"/>
            </w:pPr>
            <w:r>
              <w:rPr>
                <w:rFonts w:ascii="Arial" w:cs="Arial" w:eastAsia="Arial" w:hAnsi="Arial"/>
                <w:color w:val="374151"/>
                <w:sz w:val="18"/>
                <w:szCs w:val="18"/>
              </w:rPr>
              <w:t xml:space="preserve">Wallet App (React Native)</w:t>
            </w:r>
          </w:p>
          <w:p>
            <w:pPr>
              <w:spacing w:after="40"/>
            </w:pPr>
            <w:r>
              <w:rPr>
                <w:rFonts w:ascii="Arial" w:cs="Arial" w:eastAsia="Arial" w:hAnsi="Arial"/>
                <w:color w:val="374151"/>
                <w:sz w:val="18"/>
                <w:szCs w:val="18"/>
              </w:rPr>
              <w:t xml:space="preserve">Issuer Portal (Next.js)</w:t>
            </w:r>
          </w:p>
          <w:p>
            <w:pPr>
              <w:spacing w:after="40"/>
            </w:pPr>
            <w:r>
              <w:rPr>
                <w:rFonts w:ascii="Arial" w:cs="Arial" w:eastAsia="Arial" w:hAnsi="Arial"/>
                <w:color w:val="374151"/>
                <w:sz w:val="18"/>
                <w:szCs w:val="18"/>
              </w:rPr>
              <w:t xml:space="preserve">Verifier SDK (TypeScript)</w:t>
            </w:r>
          </w:p>
        </w:tc>
        <w:tc>
          <w:tcPr>
            <w:tcW w:type="dxa" w:w="308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b/>
                <w:bCs/>
                <w:color w:val="065F46"/>
                <w:sz w:val="18"/>
                <w:szCs w:val="18"/>
              </w:rPr>
              <w:t xml:space="preserve">BACKEND SERVICES</w:t>
            </w:r>
          </w:p>
          <w:p>
            <w:pPr>
              <w:spacing w:after="40"/>
            </w:pPr>
            <w:r>
              <w:rPr>
                <w:rFonts w:ascii="Arial" w:cs="Arial" w:eastAsia="Arial" w:hAnsi="Arial"/>
                <w:color w:val="374151"/>
                <w:sz w:val="18"/>
                <w:szCs w:val="18"/>
              </w:rPr>
              <w:t xml:space="preserve">Identity Service</w:t>
            </w:r>
          </w:p>
          <w:p>
            <w:pPr>
              <w:spacing w:after="40"/>
            </w:pPr>
            <w:r>
              <w:rPr>
                <w:rFonts w:ascii="Arial" w:cs="Arial" w:eastAsia="Arial" w:hAnsi="Arial"/>
                <w:color w:val="374151"/>
                <w:sz w:val="18"/>
                <w:szCs w:val="18"/>
              </w:rPr>
              <w:t xml:space="preserve">Credential Service</w:t>
            </w:r>
          </w:p>
          <w:p>
            <w:pPr>
              <w:spacing w:after="40"/>
            </w:pPr>
            <w:r>
              <w:rPr>
                <w:rFonts w:ascii="Arial" w:cs="Arial" w:eastAsia="Arial" w:hAnsi="Arial"/>
                <w:color w:val="374151"/>
                <w:sz w:val="18"/>
                <w:szCs w:val="18"/>
              </w:rPr>
              <w:t xml:space="preserve">Verify Service</w:t>
            </w:r>
          </w:p>
          <w:p>
            <w:pPr>
              <w:spacing w:after="40"/>
            </w:pPr>
            <w:r>
              <w:rPr>
                <w:rFonts w:ascii="Arial" w:cs="Arial" w:eastAsia="Arial" w:hAnsi="Arial"/>
                <w:color w:val="374151"/>
                <w:sz w:val="18"/>
                <w:szCs w:val="18"/>
              </w:rPr>
              <w:t xml:space="preserve">Notify Service</w:t>
            </w:r>
          </w:p>
        </w:tc>
        <w:tc>
          <w:tcPr>
            <w:tcW w:type="dxa" w:w="3200"/>
            <w:tcBorders>
              <w:top w:val="single" w:color="CBD5E1" w:sz="1"/>
              <w:left w:val="single" w:color="CBD5E1" w:sz="1"/>
              <w:bottom w:val="single" w:color="CBD5E1" w:sz="1"/>
              <w:right w:val="single" w:color="CBD5E1" w:sz="1"/>
            </w:tcBorders>
            <w:shd w:fill="FDF4FF" w:val="clear"/>
            <w:tcMar>
              <w:top w:type="dxa" w:w="120"/>
              <w:left w:type="dxa" w:w="160"/>
              <w:bottom w:type="dxa" w:w="120"/>
              <w:right w:type="dxa" w:w="160"/>
            </w:tcMar>
          </w:tcPr>
          <w:p>
            <w:r>
              <w:rPr>
                <w:rFonts w:ascii="Arial" w:cs="Arial" w:eastAsia="Arial" w:hAnsi="Arial"/>
                <w:b/>
                <w:bCs/>
                <w:color w:val="5B21B6"/>
                <w:sz w:val="18"/>
                <w:szCs w:val="18"/>
              </w:rPr>
              <w:t xml:space="preserve">PROTOCOL + DATA</w:t>
            </w:r>
          </w:p>
          <w:p>
            <w:pPr>
              <w:spacing w:after="40"/>
            </w:pPr>
            <w:r>
              <w:rPr>
                <w:rFonts w:ascii="Arial" w:cs="Arial" w:eastAsia="Arial" w:hAnsi="Arial"/>
                <w:color w:val="374151"/>
                <w:sz w:val="18"/>
                <w:szCs w:val="18"/>
              </w:rPr>
              <w:t xml:space="preserve">Hyperledger Indy Ledger</w:t>
            </w:r>
          </w:p>
          <w:p>
            <w:pPr>
              <w:spacing w:after="40"/>
            </w:pPr>
            <w:r>
              <w:rPr>
                <w:rFonts w:ascii="Arial" w:cs="Arial" w:eastAsia="Arial" w:hAnsi="Arial"/>
                <w:color w:val="374151"/>
                <w:sz w:val="18"/>
                <w:szCs w:val="18"/>
              </w:rPr>
              <w:t xml:space="preserve">DIDComm v2 Mediator</w:t>
            </w:r>
          </w:p>
          <w:p>
            <w:pPr>
              <w:spacing w:after="40"/>
            </w:pPr>
            <w:r>
              <w:rPr>
                <w:rFonts w:ascii="Arial" w:cs="Arial" w:eastAsia="Arial" w:hAnsi="Arial"/>
                <w:color w:val="374151"/>
                <w:sz w:val="18"/>
                <w:szCs w:val="18"/>
              </w:rPr>
              <w:t xml:space="preserve">PostgreSQL (RDS Multi-AZ)</w:t>
            </w:r>
          </w:p>
          <w:p>
            <w:pPr>
              <w:spacing w:after="40"/>
            </w:pPr>
            <w:r>
              <w:rPr>
                <w:rFonts w:ascii="Arial" w:cs="Arial" w:eastAsia="Arial" w:hAnsi="Arial"/>
                <w:color w:val="374151"/>
                <w:sz w:val="18"/>
                <w:szCs w:val="18"/>
              </w:rPr>
              <w:t xml:space="preserve">Redis (ElastiCache)</w:t>
            </w:r>
          </w:p>
          <w:p>
            <w:pPr>
              <w:spacing w:after="40"/>
            </w:pPr>
            <w:r>
              <w:rPr>
                <w:rFonts w:ascii="Arial" w:cs="Arial" w:eastAsia="Arial" w:hAnsi="Arial"/>
                <w:color w:val="374151"/>
                <w:sz w:val="18"/>
                <w:szCs w:val="18"/>
              </w:rPr>
              <w:t xml:space="preserve">IPFS Schema Registry</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4. Service Design</w:t>
      </w:r>
    </w:p>
    <w:p>
      <w:pPr>
        <w:spacing w:before="280" w:after="100"/>
      </w:pPr>
      <w:r>
        <w:rPr>
          <w:rFonts w:ascii="Arial" w:cs="Arial" w:eastAsia="Arial" w:hAnsi="Arial"/>
          <w:b/>
          <w:bCs/>
          <w:color w:val="1549A0"/>
          <w:sz w:val="28"/>
          <w:szCs w:val="28"/>
        </w:rPr>
        <w:t xml:space="preserve">4.1 Identity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49A0" w:sz="1"/>
              <w:left w:val="single" w:color="1549A0" w:sz="24"/>
              <w:bottom w:val="none"/>
              <w:right w:val="none"/>
            </w:tcBorders>
            <w:shd w:fill="EFF6FF" w:val="clear"/>
            <w:tcMar>
              <w:top w:type="dxa" w:w="80"/>
              <w:left w:type="dxa" w:w="200"/>
              <w:bottom w:type="dxa" w:w="80"/>
              <w:right w:type="dxa" w:w="200"/>
            </w:tcMar>
          </w:tcPr>
          <w:p>
            <w:r>
              <w:rPr>
                <w:rFonts w:ascii="Arial" w:cs="Arial" w:eastAsia="Arial" w:hAnsi="Arial"/>
                <w:b/>
                <w:bCs/>
                <w:color w:val="1549A0"/>
                <w:sz w:val="22"/>
                <w:szCs w:val="22"/>
              </w:rPr>
              <w:t xml:space="preserve">Identity Service  ·  Port 3001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Responsibility →  </w:t>
            </w:r>
            <w:r>
              <w:rPr>
                <w:rFonts w:ascii="Arial" w:cs="Arial" w:eastAsia="Arial" w:hAnsi="Arial"/>
                <w:color w:val="374151"/>
                <w:sz w:val="19"/>
                <w:szCs w:val="19"/>
              </w:rPr>
              <w:t xml:space="preserve">DID lifecycle management: generation, publishing, rotation, resolution</w:t>
            </w:r>
          </w:p>
        </w:tc>
      </w:tr>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Owns →  </w:t>
            </w:r>
            <w:r>
              <w:rPr>
                <w:rFonts w:ascii="Arial" w:cs="Arial" w:eastAsia="Arial" w:hAnsi="Arial"/>
                <w:color w:val="374151"/>
                <w:sz w:val="19"/>
                <w:szCs w:val="19"/>
              </w:rPr>
              <w:t xml:space="preserve">DID Documents, key rotation history, DID-to-Org mapping (PostgreSQL)</w:t>
            </w:r>
          </w:p>
        </w:tc>
      </w:tr>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Exposes →  </w:t>
            </w:r>
            <w:r>
              <w:rPr>
                <w:rFonts w:ascii="Arial" w:cs="Arial" w:eastAsia="Arial" w:hAnsi="Arial"/>
                <w:color w:val="374151"/>
                <w:sz w:val="19"/>
                <w:szCs w:val="19"/>
              </w:rPr>
              <w:t xml:space="preserve">REST API (DID CRUD) + Universal Resolver-compatible resolution endpoint</w:t>
            </w:r>
          </w:p>
        </w:tc>
      </w:tr>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Consumes →  </w:t>
            </w:r>
            <w:r>
              <w:rPr>
                <w:rFonts w:ascii="Arial" w:cs="Arial" w:eastAsia="Arial" w:hAnsi="Arial"/>
                <w:color w:val="374151"/>
                <w:sz w:val="19"/>
                <w:szCs w:val="19"/>
              </w:rPr>
              <w:t xml:space="preserve">Hyperledger Indy ledger via Aries Framework JS</w:t>
            </w:r>
          </w:p>
        </w:tc>
      </w:tr>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Scaling →  </w:t>
            </w:r>
            <w:r>
              <w:rPr>
                <w:rFonts w:ascii="Arial" w:cs="Arial" w:eastAsia="Arial" w:hAnsi="Arial"/>
                <w:color w:val="374151"/>
                <w:sz w:val="19"/>
                <w:szCs w:val="19"/>
              </w:rPr>
              <w:t xml:space="preserve">Stateless; horizontally scalable; DID resolution cached in Redis (TTL 1hr)</w:t>
            </w:r>
          </w:p>
        </w:tc>
      </w:tr>
      <w:tr>
        <w:tc>
          <w:tcPr>
            <w:tcW w:type="dxa" w:w="9360"/>
            <w:tcBorders>
              <w:top w:val="none"/>
              <w:left w:val="single" w:color="1549A0"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1549A0"/>
                <w:sz w:val="19"/>
                <w:szCs w:val="19"/>
              </w:rPr>
              <w:t xml:space="preserve">Critical Path →  </w:t>
            </w:r>
            <w:r>
              <w:rPr>
                <w:rFonts w:ascii="Arial" w:cs="Arial" w:eastAsia="Arial" w:hAnsi="Arial"/>
                <w:color w:val="374151"/>
                <w:sz w:val="19"/>
                <w:szCs w:val="19"/>
              </w:rPr>
              <w:t xml:space="preserve">DID registration required before any credential can be issued or verified</w:t>
            </w:r>
          </w:p>
        </w:tc>
      </w:tr>
    </w:tbl>
    <w:p>
      <w:pPr>
        <w:spacing w:after="100"/>
      </w:pPr>
      <w:r>
        <w:t xml:space="preserve"/>
      </w:r>
    </w:p>
    <w:p>
      <w:pPr>
        <w:spacing w:before="200" w:after="80"/>
      </w:pPr>
      <w:r>
        <w:rPr>
          <w:rFonts w:ascii="Arial" w:cs="Arial" w:eastAsia="Arial" w:hAnsi="Arial"/>
          <w:b/>
          <w:bCs/>
          <w:color w:val="1549A0"/>
          <w:sz w:val="22"/>
          <w:szCs w:val="22"/>
        </w:rPr>
        <w:t xml:space="preserve">Identity Service — Key Endpoints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500"/>
        <w:gridCol w:w="2100"/>
      </w:tblGrid>
      <w:tr>
        <w:trPr>
          <w:tblHeader/>
        </w:trPr>
        <w:tc>
          <w:tcPr>
            <w:tcW w:type="dxa" w:w="2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Method</w:t>
            </w:r>
          </w:p>
        </w:tc>
        <w:tc>
          <w:tcPr>
            <w:tcW w:type="dxa" w:w="35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21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/did/create</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Generate new DID for user or org; anchors to Indy ledger</w:t>
            </w:r>
          </w:p>
        </w:tc>
        <w:tc>
          <w:tcPr>
            <w:tcW w:type="dxa" w:w="2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JWT (internal)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/did/:did/resolve</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GET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Resolve DID to DID Document; checks Redis cache first</w:t>
            </w:r>
          </w:p>
        </w:tc>
        <w:tc>
          <w:tcPr>
            <w:tcW w:type="dxa" w:w="21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Public</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/did/:did/rotate</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PUT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Key rotation — publish new verification key, revoke old</w:t>
            </w:r>
          </w:p>
        </w:tc>
        <w:tc>
          <w:tcPr>
            <w:tcW w:type="dxa" w:w="2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JWT + HSM sig</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/did/:did/deactivate</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DELETE</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Mark DID as deactivated on ledger</w:t>
            </w:r>
          </w:p>
        </w:tc>
        <w:tc>
          <w:tcPr>
            <w:tcW w:type="dxa" w:w="21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JWT + Admin MFA</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/.well-known/did.json</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GET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did:web resolution endpoint for org DIDs</w:t>
            </w:r>
          </w:p>
        </w:tc>
        <w:tc>
          <w:tcPr>
            <w:tcW w:type="dxa" w:w="2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Public</w:t>
            </w:r>
          </w:p>
        </w:tc>
      </w:tr>
    </w:tbl>
    <w:p>
      <w:pPr>
        <w:spacing w:after="80"/>
      </w:pPr>
      <w:r>
        <w:t xml:space="preserve"/>
      </w:r>
    </w:p>
    <w:p>
      <w:pPr>
        <w:spacing w:before="280" w:after="100"/>
      </w:pPr>
      <w:r>
        <w:rPr>
          <w:rFonts w:ascii="Arial" w:cs="Arial" w:eastAsia="Arial" w:hAnsi="Arial"/>
          <w:b/>
          <w:bCs/>
          <w:color w:val="1549A0"/>
          <w:sz w:val="28"/>
          <w:szCs w:val="28"/>
        </w:rPr>
        <w:t xml:space="preserve">4.2 Credential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24"/>
              <w:bottom w:val="none"/>
              <w:right w:val="none"/>
            </w:tcBorders>
            <w:shd w:fill="F0FDF4" w:val="clear"/>
            <w:tcMar>
              <w:top w:type="dxa" w:w="80"/>
              <w:left w:type="dxa" w:w="200"/>
              <w:bottom w:type="dxa" w:w="80"/>
              <w:right w:type="dxa" w:w="200"/>
            </w:tcMar>
          </w:tcPr>
          <w:p>
            <w:r>
              <w:rPr>
                <w:rFonts w:ascii="Arial" w:cs="Arial" w:eastAsia="Arial" w:hAnsi="Arial"/>
                <w:b/>
                <w:bCs/>
                <w:color w:val="065F46"/>
                <w:sz w:val="22"/>
                <w:szCs w:val="22"/>
              </w:rPr>
              <w:t xml:space="preserve">Credential Service  ·  Port 3002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65F46"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65F46"/>
                <w:sz w:val="19"/>
                <w:szCs w:val="19"/>
              </w:rPr>
              <w:t xml:space="preserve">Responsibility →  </w:t>
            </w:r>
            <w:r>
              <w:rPr>
                <w:rFonts w:ascii="Arial" w:cs="Arial" w:eastAsia="Arial" w:hAnsi="Arial"/>
                <w:color w:val="374151"/>
                <w:sz w:val="19"/>
                <w:szCs w:val="19"/>
              </w:rPr>
              <w:t xml:space="preserve">VC issuance, template management, revocation, bulk operations</w:t>
            </w:r>
          </w:p>
        </w:tc>
      </w:tr>
      <w:tr>
        <w:tc>
          <w:tcPr>
            <w:tcW w:type="dxa" w:w="9360"/>
            <w:tcBorders>
              <w:top w:val="none"/>
              <w:left w:val="single" w:color="065F46"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65F46"/>
                <w:sz w:val="19"/>
                <w:szCs w:val="19"/>
              </w:rPr>
              <w:t xml:space="preserve">Owns →  </w:t>
            </w:r>
            <w:r>
              <w:rPr>
                <w:rFonts w:ascii="Arial" w:cs="Arial" w:eastAsia="Arial" w:hAnsi="Arial"/>
                <w:color w:val="374151"/>
                <w:sz w:val="19"/>
                <w:szCs w:val="19"/>
              </w:rPr>
              <w:t xml:space="preserve">Credential templates, issuance records (metadata only), revocation registry</w:t>
            </w:r>
          </w:p>
        </w:tc>
      </w:tr>
      <w:tr>
        <w:tc>
          <w:tcPr>
            <w:tcW w:type="dxa" w:w="9360"/>
            <w:tcBorders>
              <w:top w:val="none"/>
              <w:left w:val="single" w:color="065F46"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65F46"/>
                <w:sz w:val="19"/>
                <w:szCs w:val="19"/>
              </w:rPr>
              <w:t xml:space="preserve">Exposes →  </w:t>
            </w:r>
            <w:r>
              <w:rPr>
                <w:rFonts w:ascii="Arial" w:cs="Arial" w:eastAsia="Arial" w:hAnsi="Arial"/>
                <w:color w:val="374151"/>
                <w:sz w:val="19"/>
                <w:szCs w:val="19"/>
              </w:rPr>
              <w:t xml:space="preserve">REST API (issuance) + BullMQ worker (bulk) + DIDComm endpoint</w:t>
            </w:r>
          </w:p>
        </w:tc>
      </w:tr>
      <w:tr>
        <w:tc>
          <w:tcPr>
            <w:tcW w:type="dxa" w:w="9360"/>
            <w:tcBorders>
              <w:top w:val="none"/>
              <w:left w:val="single" w:color="065F46"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65F46"/>
                <w:sz w:val="19"/>
                <w:szCs w:val="19"/>
              </w:rPr>
              <w:t xml:space="preserve">Consumes →  </w:t>
            </w:r>
            <w:r>
              <w:rPr>
                <w:rFonts w:ascii="Arial" w:cs="Arial" w:eastAsia="Arial" w:hAnsi="Arial"/>
                <w:color w:val="374151"/>
                <w:sz w:val="19"/>
                <w:szCs w:val="19"/>
              </w:rPr>
              <w:t xml:space="preserve">CloudHSM (issuer signing), Identity Svc (DID), Notify Svc (events)</w:t>
            </w:r>
          </w:p>
        </w:tc>
      </w:tr>
      <w:tr>
        <w:tc>
          <w:tcPr>
            <w:tcW w:type="dxa" w:w="9360"/>
            <w:tcBorders>
              <w:top w:val="none"/>
              <w:left w:val="single" w:color="065F46"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65F46"/>
                <w:sz w:val="19"/>
                <w:szCs w:val="19"/>
              </w:rPr>
              <w:t xml:space="preserve">Critical →  </w:t>
            </w:r>
            <w:r>
              <w:rPr>
                <w:rFonts w:ascii="Arial" w:cs="Arial" w:eastAsia="Arial" w:hAnsi="Arial"/>
                <w:color w:val="374151"/>
                <w:sz w:val="19"/>
                <w:szCs w:val="19"/>
              </w:rPr>
              <w:t xml:space="preserve">Signs credentials using issuer private key in CloudHSM — never in app memory</w:t>
            </w:r>
          </w:p>
        </w:tc>
      </w:tr>
    </w:tbl>
    <w:p>
      <w:pPr>
        <w:spacing w:after="100"/>
      </w:pPr>
      <w:r>
        <w:t xml:space="preserve"/>
      </w:r>
    </w:p>
    <w:p>
      <w:pPr>
        <w:spacing w:before="200" w:after="80"/>
      </w:pPr>
      <w:r>
        <w:rPr>
          <w:rFonts w:ascii="Arial" w:cs="Arial" w:eastAsia="Arial" w:hAnsi="Arial"/>
          <w:b/>
          <w:bCs/>
          <w:color w:val="065F46"/>
          <w:sz w:val="22"/>
          <w:szCs w:val="22"/>
        </w:rPr>
        <w:t xml:space="preserve">Credential Service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500"/>
        <w:gridCol w:w="2360"/>
      </w:tblGrid>
      <w:tr>
        <w:trPr>
          <w:tblHeader/>
        </w:trPr>
        <w:tc>
          <w:tcPr>
            <w:tcW w:type="dxa" w:w="2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Method</w:t>
            </w:r>
          </w:p>
        </w:tc>
        <w:tc>
          <w:tcPr>
            <w:tcW w:type="dxa" w:w="35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23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/credentials/issue</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 single VC; signs via HSM; sends via DIDComm to wallet</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JWT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/credentials/bulk</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Queue bulk issuance job (CSV upload); returns job ID</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JWT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/credentials/jobs/:id</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GET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Poll bulk issuance job status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JWT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/credentials/revoke</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Update Status List 2021 bitstring; publish to IPFS</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JWT+MFA</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/credentials/templates</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GET/POST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Manage credential schema templates per org</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JWT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/didcomm</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Receive DIDComm credential request from wallet</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DIDComm Auth</w:t>
            </w:r>
          </w:p>
        </w:tc>
      </w:tr>
    </w:tbl>
    <w:p>
      <w:pPr>
        <w:spacing w:after="80"/>
      </w:pPr>
      <w:r>
        <w:t xml:space="preserve"/>
      </w:r>
    </w:p>
    <w:p>
      <w:pPr>
        <w:spacing w:before="280" w:after="100"/>
      </w:pPr>
      <w:r>
        <w:rPr>
          <w:rFonts w:ascii="Arial" w:cs="Arial" w:eastAsia="Arial" w:hAnsi="Arial"/>
          <w:b/>
          <w:bCs/>
          <w:color w:val="1549A0"/>
          <w:sz w:val="28"/>
          <w:szCs w:val="28"/>
        </w:rPr>
        <w:t xml:space="preserve">4.3 Verify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1"/>
              <w:left w:val="single" w:color="0891B2" w:sz="24"/>
              <w:bottom w:val="none"/>
              <w:right w:val="none"/>
            </w:tcBorders>
            <w:shd w:fill="ECFEFF" w:val="clear"/>
            <w:tcMar>
              <w:top w:type="dxa" w:w="80"/>
              <w:left w:type="dxa" w:w="200"/>
              <w:bottom w:type="dxa" w:w="80"/>
              <w:right w:type="dxa" w:w="200"/>
            </w:tcMar>
          </w:tcPr>
          <w:p>
            <w:r>
              <w:rPr>
                <w:rFonts w:ascii="Arial" w:cs="Arial" w:eastAsia="Arial" w:hAnsi="Arial"/>
                <w:b/>
                <w:bCs/>
                <w:color w:val="0891B2"/>
                <w:sz w:val="22"/>
                <w:szCs w:val="22"/>
              </w:rPr>
              <w:t xml:space="preserve">Verify Service  ·  Port 3003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891B2"/>
                <w:sz w:val="19"/>
                <w:szCs w:val="19"/>
              </w:rPr>
              <w:t xml:space="preserve">Responsibility →  </w:t>
            </w:r>
            <w:r>
              <w:rPr>
                <w:rFonts w:ascii="Arial" w:cs="Arial" w:eastAsia="Arial" w:hAnsi="Arial"/>
                <w:color w:val="374151"/>
                <w:sz w:val="19"/>
                <w:szCs w:val="19"/>
              </w:rPr>
              <w:t xml:space="preserve">Receive and verify Verifiable Presentations; return boolean + disclosed attributes</w:t>
            </w:r>
          </w:p>
        </w:tc>
      </w:tr>
      <w:tr>
        <w:tc>
          <w:tcPr>
            <w:tcW w:type="dxa" w:w="9360"/>
            <w:tcBorders>
              <w:top w:val="none"/>
              <w:left w:val="single" w:color="0891B2"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891B2"/>
                <w:sz w:val="19"/>
                <w:szCs w:val="19"/>
              </w:rPr>
              <w:t xml:space="preserve">Owns →  </w:t>
            </w:r>
            <w:r>
              <w:rPr>
                <w:rFonts w:ascii="Arial" w:cs="Arial" w:eastAsia="Arial" w:hAnsi="Arial"/>
                <w:color w:val="374151"/>
                <w:sz w:val="19"/>
                <w:szCs w:val="19"/>
              </w:rPr>
              <w:t xml:space="preserve">Proof audit log (hash only, zero PII); verifier organization registry</w:t>
            </w:r>
          </w:p>
        </w:tc>
      </w:tr>
      <w:tr>
        <w:tc>
          <w:tcPr>
            <w:tcW w:type="dxa" w:w="9360"/>
            <w:tcBorders>
              <w:top w:val="none"/>
              <w:left w:val="single" w:color="0891B2"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891B2"/>
                <w:sz w:val="19"/>
                <w:szCs w:val="19"/>
              </w:rPr>
              <w:t xml:space="preserve">Exposes →  </w:t>
            </w:r>
            <w:r>
              <w:rPr>
                <w:rFonts w:ascii="Arial" w:cs="Arial" w:eastAsia="Arial" w:hAnsi="Arial"/>
                <w:color w:val="374151"/>
                <w:sz w:val="19"/>
                <w:szCs w:val="19"/>
              </w:rPr>
              <w:t xml:space="preserve">REST API (verification) + WebSocket (real-time QR verification flow)</w:t>
            </w:r>
          </w:p>
        </w:tc>
      </w:tr>
      <w:tr>
        <w:tc>
          <w:tcPr>
            <w:tcW w:type="dxa" w:w="9360"/>
            <w:tcBorders>
              <w:top w:val="none"/>
              <w:left w:val="single" w:color="0891B2"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0891B2"/>
                <w:sz w:val="19"/>
                <w:szCs w:val="19"/>
              </w:rPr>
              <w:t xml:space="preserve">Data Policy →  </w:t>
            </w:r>
            <w:r>
              <w:rPr>
                <w:rFonts w:ascii="Arial" w:cs="Arial" w:eastAsia="Arial" w:hAnsi="Arial"/>
                <w:color w:val="374151"/>
                <w:sz w:val="19"/>
                <w:szCs w:val="19"/>
              </w:rPr>
              <w:t xml:space="preserve">Stores ONLY: proof hash, timestamp, verifier DID, disclosed field names. NEVER stores values</w:t>
            </w:r>
          </w:p>
        </w:tc>
      </w:tr>
    </w:tbl>
    <w:p>
      <w:pPr>
        <w:spacing w:after="100"/>
      </w:pPr>
      <w:r>
        <w:t xml:space="preserve"/>
      </w:r>
    </w:p>
    <w:p>
      <w:pPr>
        <w:spacing w:before="200" w:after="80"/>
      </w:pPr>
      <w:r>
        <w:rPr>
          <w:rFonts w:ascii="Arial" w:cs="Arial" w:eastAsia="Arial" w:hAnsi="Arial"/>
          <w:b/>
          <w:bCs/>
          <w:color w:val="0891B2"/>
          <w:sz w:val="22"/>
          <w:szCs w:val="22"/>
        </w:rPr>
        <w:t xml:space="preserve">Verify Service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500"/>
        <w:gridCol w:w="2360"/>
      </w:tblGrid>
      <w:tr>
        <w:trPr>
          <w:tblHeader/>
        </w:trPr>
        <w:tc>
          <w:tcPr>
            <w:tcW w:type="dxa" w:w="2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Method</w:t>
            </w:r>
          </w:p>
        </w:tc>
        <w:tc>
          <w:tcPr>
            <w:tcW w:type="dxa" w:w="35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23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/verify/request</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Create presentation request; returns QR payload + request ID</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Verifier JWT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/verify/submit</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Receive VP from wallet; run ZKP checks; return result</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DIDComm/JWT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/verify/:requestId</w:t>
            </w:r>
          </w:p>
        </w:tc>
        <w:tc>
          <w:tcPr>
            <w:tcW w:type="dxa" w:w="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GET</w:t>
            </w:r>
          </w:p>
        </w:tc>
        <w:tc>
          <w:tcPr>
            <w:tcW w:type="dxa" w:w="3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WebSocket: stream verification result to verifier app</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Verifier JWT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/verify/audit/:orgId</w:t>
            </w:r>
          </w:p>
        </w:tc>
        <w:tc>
          <w:tcPr>
            <w:tcW w:type="dxa" w:w="9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GET</w:t>
            </w:r>
          </w:p>
        </w:tc>
        <w:tc>
          <w:tcPr>
            <w:tcW w:type="dxa" w:w="35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Paginated audit log (hashes only) for compliance</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Admin JWT</w:t>
            </w:r>
          </w:p>
        </w:tc>
      </w:tr>
    </w:tbl>
    <w:p>
      <w:pPr>
        <w:spacing w:after="80"/>
      </w:pPr>
      <w:r>
        <w:t xml:space="preserve"/>
      </w:r>
    </w:p>
    <w:p>
      <w:pPr>
        <w:spacing w:before="280" w:after="100"/>
      </w:pPr>
      <w:r>
        <w:rPr>
          <w:rFonts w:ascii="Arial" w:cs="Arial" w:eastAsia="Arial" w:hAnsi="Arial"/>
          <w:b/>
          <w:bCs/>
          <w:color w:val="1549A0"/>
          <w:sz w:val="28"/>
          <w:szCs w:val="28"/>
        </w:rPr>
        <w:t xml:space="preserve">4.4 Notify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24"/>
              <w:bottom w:val="none"/>
              <w:right w:val="none"/>
            </w:tcBorders>
            <w:shd w:fill="FFFBEB" w:val="clear"/>
            <w:tcMar>
              <w:top w:type="dxa" w:w="80"/>
              <w:left w:type="dxa" w:w="200"/>
              <w:bottom w:type="dxa" w:w="80"/>
              <w:right w:type="dxa" w:w="200"/>
            </w:tcMar>
          </w:tcPr>
          <w:p>
            <w:r>
              <w:rPr>
                <w:rFonts w:ascii="Arial" w:cs="Arial" w:eastAsia="Arial" w:hAnsi="Arial"/>
                <w:b/>
                <w:bCs/>
                <w:color w:val="92400E"/>
                <w:sz w:val="22"/>
                <w:szCs w:val="22"/>
              </w:rPr>
              <w:t xml:space="preserve">Notify Service  ·  Port 3004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2400E"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92400E"/>
                <w:sz w:val="19"/>
                <w:szCs w:val="19"/>
              </w:rPr>
              <w:t xml:space="preserve">Responsibility →  </w:t>
            </w:r>
            <w:r>
              <w:rPr>
                <w:rFonts w:ascii="Arial" w:cs="Arial" w:eastAsia="Arial" w:hAnsi="Arial"/>
                <w:color w:val="374151"/>
                <w:sz w:val="19"/>
                <w:szCs w:val="19"/>
              </w:rPr>
              <w:t xml:space="preserve">Dispatch push notifications to wallet devices via FCM/APNS</w:t>
            </w:r>
          </w:p>
        </w:tc>
      </w:tr>
      <w:tr>
        <w:tc>
          <w:tcPr>
            <w:tcW w:type="dxa" w:w="9360"/>
            <w:tcBorders>
              <w:top w:val="none"/>
              <w:left w:val="single" w:color="92400E"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92400E"/>
                <w:sz w:val="19"/>
                <w:szCs w:val="19"/>
              </w:rPr>
              <w:t xml:space="preserve">Privacy →  </w:t>
            </w:r>
            <w:r>
              <w:rPr>
                <w:rFonts w:ascii="Arial" w:cs="Arial" w:eastAsia="Arial" w:hAnsi="Arial"/>
                <w:color w:val="374151"/>
                <w:sz w:val="19"/>
                <w:szCs w:val="19"/>
              </w:rPr>
              <w:t xml:space="preserve">Notification payloads contain ZERO credential data — event type and metadata only</w:t>
            </w:r>
          </w:p>
        </w:tc>
      </w:tr>
      <w:tr>
        <w:tc>
          <w:tcPr>
            <w:tcW w:type="dxa" w:w="9360"/>
            <w:tcBorders>
              <w:top w:val="none"/>
              <w:left w:val="single" w:color="92400E"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92400E"/>
                <w:sz w:val="19"/>
                <w:szCs w:val="19"/>
              </w:rPr>
              <w:t xml:space="preserve">Exposes →  </w:t>
            </w:r>
            <w:r>
              <w:rPr>
                <w:rFonts w:ascii="Arial" w:cs="Arial" w:eastAsia="Arial" w:hAnsi="Arial"/>
                <w:color w:val="374151"/>
                <w:sz w:val="19"/>
                <w:szCs w:val="19"/>
              </w:rPr>
              <w:t xml:space="preserve">Internal-only gRPC API consumed by other services</w:t>
            </w:r>
          </w:p>
        </w:tc>
      </w:tr>
      <w:tr>
        <w:tc>
          <w:tcPr>
            <w:tcW w:type="dxa" w:w="9360"/>
            <w:tcBorders>
              <w:top w:val="none"/>
              <w:left w:val="single" w:color="92400E" w:sz="24"/>
              <w:bottom w:val="single" w:color="E2E8F0" w:sz="1"/>
              <w:right w:val="none"/>
            </w:tcBorders>
            <w:shd w:fill="FAFBFD" w:val="clear"/>
            <w:tcMar>
              <w:top w:type="dxa" w:w="70"/>
              <w:left w:type="dxa" w:w="200"/>
              <w:bottom w:type="dxa" w:w="70"/>
              <w:right w:type="dxa" w:w="200"/>
            </w:tcMar>
          </w:tcPr>
          <w:p>
            <w:r>
              <w:rPr>
                <w:rFonts w:ascii="Arial" w:cs="Arial" w:eastAsia="Arial" w:hAnsi="Arial"/>
                <w:b/>
                <w:bCs/>
                <w:color w:val="92400E"/>
                <w:sz w:val="19"/>
                <w:szCs w:val="19"/>
              </w:rPr>
              <w:t xml:space="preserve">Scaling →  </w:t>
            </w:r>
            <w:r>
              <w:rPr>
                <w:rFonts w:ascii="Arial" w:cs="Arial" w:eastAsia="Arial" w:hAnsi="Arial"/>
                <w:color w:val="374151"/>
                <w:sz w:val="19"/>
                <w:szCs w:val="19"/>
              </w:rPr>
              <w:t xml:space="preserve">Queue-backed BullMQ workers; FCM/APNS calls are fire-and-forget</w:t>
            </w:r>
          </w:p>
        </w:tc>
      </w:tr>
    </w:tbl>
    <w:p>
      <w:pPr>
        <w:spacing w:after="100"/>
      </w:pPr>
      <w:r>
        <w:t xml:space="preserve"/>
      </w:r>
    </w:p>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5. Database Design</w:t>
      </w:r>
    </w:p>
    <w:p>
      <w:pPr>
        <w:spacing w:before="280" w:after="100"/>
      </w:pPr>
      <w:r>
        <w:rPr>
          <w:rFonts w:ascii="Arial" w:cs="Arial" w:eastAsia="Arial" w:hAnsi="Arial"/>
          <w:b/>
          <w:bCs/>
          <w:color w:val="1549A0"/>
          <w:sz w:val="28"/>
          <w:szCs w:val="28"/>
        </w:rPr>
        <w:t xml:space="preserve">5.1 Schema Overview</w:t>
      </w:r>
    </w:p>
    <w:p>
      <w:pPr>
        <w:spacing w:after="90"/>
      </w:pPr>
      <w:r>
        <w:rPr>
          <w:rFonts w:ascii="Arial" w:cs="Arial" w:eastAsia="Arial" w:hAnsi="Arial"/>
          <w:color w:val="374151"/>
          <w:sz w:val="20"/>
          <w:szCs w:val="20"/>
        </w:rPr>
        <w:t xml:space="preserve">PostgreSQL with one schema per service domain. Row-Level Security enforced per tenant. No credential content or private keys stored in PostgreSQL.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400"/>
        <w:gridCol w:w="1560"/>
      </w:tblGrid>
      <w:tr>
        <w:trPr>
          <w:tblHeader/>
        </w:trPr>
        <w:tc>
          <w:tcPr>
            <w:tcW w:type="dxa" w:w="2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Schema / Table</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Service Owner</w:t>
            </w:r>
          </w:p>
        </w:tc>
        <w:tc>
          <w:tcPr>
            <w:tcW w:type="dxa" w:w="3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Key Columns</w:t>
            </w:r>
          </w:p>
        </w:tc>
        <w:tc>
          <w:tcPr>
            <w:tcW w:type="dxa" w:w="15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Sensitive?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identity.dids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Identity Svc</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did, method, status, created_at, org_id</w:t>
            </w:r>
          </w:p>
        </w:tc>
        <w:tc>
          <w:tcPr>
            <w:tcW w:type="dxa" w:w="1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No — DIDs are public</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identity.did_keys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Identity Svc</w:t>
            </w:r>
          </w:p>
        </w:tc>
        <w:tc>
          <w:tcPr>
            <w:tcW w:type="dxa" w:w="3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did, key_id, public_key_multibase, revoked_at</w:t>
            </w:r>
          </w:p>
        </w:tc>
        <w:tc>
          <w:tcPr>
            <w:tcW w:type="dxa" w:w="15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No — public keys only</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credential.templates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Credential Svc</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id, org_id, schema_id, name, fields_json, created_at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No</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credential.issuance_log</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Credential Svc</w:t>
            </w:r>
          </w:p>
        </w:tc>
        <w:tc>
          <w:tcPr>
            <w:tcW w:type="dxa" w:w="3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 issuer_did, holder_did, schema_id, issued_at, status</w:t>
            </w:r>
          </w:p>
        </w:tc>
        <w:tc>
          <w:tcPr>
            <w:tcW w:type="dxa" w:w="15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Low — no VC content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credential.revocation_lists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Credential Svc</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id, issuer_did, bitstring_url, updated_at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No</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verify.audit_log</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Verify Svc</w:t>
            </w:r>
          </w:p>
        </w:tc>
        <w:tc>
          <w:tcPr>
            <w:tcW w:type="dxa" w:w="3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 verifier_did, proof_hash, disclosed_fields (names), ts</w:t>
            </w:r>
          </w:p>
        </w:tc>
        <w:tc>
          <w:tcPr>
            <w:tcW w:type="dxa" w:w="15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Low — no values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notify.device_tokens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Notify Svc</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user_did_hash, platform, token_enc, updated_at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Med — tokens encrypted</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auth.orgs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Shared</w:t>
            </w:r>
          </w:p>
        </w:tc>
        <w:tc>
          <w:tcPr>
            <w:tcW w:type="dxa" w:w="3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id, name, issuer_did, plan, created_at</w:t>
            </w:r>
          </w:p>
        </w:tc>
        <w:tc>
          <w:tcPr>
            <w:tcW w:type="dxa" w:w="15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Low</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auth.sessions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Shared</w:t>
            </w:r>
          </w:p>
        </w:tc>
        <w:tc>
          <w:tcPr>
            <w:tcW w:type="dxa" w:w="3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id, org_id, token_hash, expires_at, ip_hash</w:t>
            </w:r>
          </w:p>
        </w:tc>
        <w:tc>
          <w:tcPr>
            <w:tcW w:type="dxa" w:w="1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Med — hashed only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20"/>
              <w:bottom w:val="single" w:color="065F46" w:sz="4"/>
              <w:right w:val="none"/>
            </w:tcBorders>
            <w:shd w:fill="F0FDF4" w:val="clear"/>
            <w:tcMar>
              <w:top w:type="dxa" w:w="100"/>
              <w:left w:type="dxa" w:w="200"/>
              <w:bottom w:type="dxa" w:w="100"/>
              <w:right w:type="dxa" w:w="200"/>
            </w:tcMar>
          </w:tcPr>
          <w:p>
            <w:pPr>
              <w:spacing w:after="55"/>
            </w:pPr>
            <w:r>
              <w:rPr>
                <w:rFonts w:ascii="Arial" w:cs="Arial" w:eastAsia="Arial" w:hAnsi="Arial"/>
                <w:color w:val="0B1D35"/>
                <w:sz w:val="19"/>
                <w:szCs w:val="19"/>
              </w:rPr>
              <w:t xml:space="preserve">PostgreSQL Security Posture:</w:t>
            </w:r>
          </w:p>
          <w:p>
            <w:pPr>
              <w:spacing w:after="55"/>
            </w:pPr>
            <w:r>
              <w:rPr>
                <w:rFonts w:ascii="Arial" w:cs="Arial" w:eastAsia="Arial" w:hAnsi="Arial"/>
                <w:color w:val="0B1D35"/>
                <w:sz w:val="19"/>
                <w:szCs w:val="19"/>
              </w:rPr>
              <w:t xml:space="preserve">  · All tables encrypted at rest via AWS RDS (AES-256)</w:t>
            </w:r>
          </w:p>
          <w:p>
            <w:pPr>
              <w:spacing w:after="55"/>
            </w:pPr>
            <w:r>
              <w:rPr>
                <w:rFonts w:ascii="Arial" w:cs="Arial" w:eastAsia="Arial" w:hAnsi="Arial"/>
                <w:color w:val="0B1D35"/>
                <w:sz w:val="19"/>
                <w:szCs w:val="19"/>
              </w:rPr>
              <w:t xml:space="preserve">  · Row-Level Security (RLS) on all multi-tenant tables</w:t>
            </w:r>
          </w:p>
          <w:p>
            <w:pPr>
              <w:spacing w:after="55"/>
            </w:pPr>
            <w:r>
              <w:rPr>
                <w:rFonts w:ascii="Arial" w:cs="Arial" w:eastAsia="Arial" w:hAnsi="Arial"/>
                <w:color w:val="0B1D35"/>
                <w:sz w:val="19"/>
                <w:szCs w:val="19"/>
              </w:rPr>
              <w:t xml:space="preserve">  · audit_log has DELETE disabled via RLS — append-only for compliance</w:t>
            </w:r>
          </w:p>
          <w:p>
            <w:pPr>
              <w:spacing w:after="55"/>
            </w:pPr>
            <w:r>
              <w:rPr>
                <w:rFonts w:ascii="Arial" w:cs="Arial" w:eastAsia="Arial" w:hAnsi="Arial"/>
                <w:color w:val="0B1D35"/>
                <w:sz w:val="19"/>
                <w:szCs w:val="19"/>
              </w:rPr>
              <w:t xml:space="preserve">  · Connection pooling via PgBouncer (transaction mode) — max 100 conn per service</w:t>
            </w:r>
          </w:p>
          <w:p>
            <w:pPr>
              <w:spacing w:after="55"/>
            </w:pPr>
            <w:r>
              <w:rPr>
                <w:rFonts w:ascii="Arial" w:cs="Arial" w:eastAsia="Arial" w:hAnsi="Arial"/>
                <w:color w:val="0B1D35"/>
                <w:sz w:val="19"/>
                <w:szCs w:val="19"/>
              </w:rPr>
              <w:t xml:space="preserve">  · Read replicas for verify.audit_log (read-heavy, write-light)</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6. Caching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260"/>
      </w:tblGrid>
      <w:tr>
        <w:trPr>
          <w:tblHeader/>
        </w:trPr>
        <w:tc>
          <w:tcPr>
            <w:tcW w:type="dxa" w:w="2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Cache Key Pattern</w:t>
            </w:r>
          </w:p>
        </w:tc>
        <w:tc>
          <w:tcPr>
            <w:tcW w:type="dxa" w:w="11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TTL</w:t>
            </w:r>
          </w:p>
        </w:tc>
        <w:tc>
          <w:tcPr>
            <w:tcW w:type="dxa" w:w="22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 of Truth</w:t>
            </w:r>
          </w:p>
        </w:tc>
        <w:tc>
          <w:tcPr>
            <w:tcW w:type="dxa" w:w="32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Invalidation Strategy</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did:resolve:{did}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hour</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Indy Ledger / did:web</w:t>
            </w:r>
          </w:p>
        </w:tc>
        <w:tc>
          <w:tcPr>
            <w:tcW w:type="dxa" w:w="3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Explicit on DID rotation event</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schema:{schema_id}</w:t>
            </w:r>
          </w:p>
        </w:tc>
        <w:tc>
          <w:tcPr>
            <w:tcW w:type="dxa" w:w="11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24 hours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IPFS (immutable)</w:t>
            </w:r>
          </w:p>
        </w:tc>
        <w:tc>
          <w:tcPr>
            <w:tcW w:type="dxa" w:w="32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Never — IPFS content-addressed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revocation:{list_id}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5 minutes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IPFS / credential svc</w:t>
            </w:r>
          </w:p>
        </w:tc>
        <w:tc>
          <w:tcPr>
            <w:tcW w:type="dxa" w:w="3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Polling + explicit on revoke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verify:session:{req_id}</w:t>
            </w:r>
          </w:p>
        </w:tc>
        <w:tc>
          <w:tcPr>
            <w:tcW w:type="dxa" w:w="11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10 minutes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Verify Svc DB</w:t>
            </w:r>
          </w:p>
        </w:tc>
        <w:tc>
          <w:tcPr>
            <w:tcW w:type="dxa" w:w="32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TTL expiry; cleared on completion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rate:ip:{ip}:{endpoint}</w:t>
            </w:r>
          </w:p>
        </w:tc>
        <w:tc>
          <w:tcPr>
            <w:tcW w:type="dxa" w:w="11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minute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Redis counter</w:t>
            </w:r>
          </w:p>
        </w:tc>
        <w:tc>
          <w:tcPr>
            <w:tcW w:type="dxa" w:w="32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TTL sliding window</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session:{token_hash}</w:t>
            </w:r>
          </w:p>
        </w:tc>
        <w:tc>
          <w:tcPr>
            <w:tcW w:type="dxa" w:w="11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Session duration</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auth.sessions DB</w:t>
            </w:r>
          </w:p>
        </w:tc>
        <w:tc>
          <w:tcPr>
            <w:tcW w:type="dxa" w:w="32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Explicit on logout/rotation</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7. API Design &amp; Communication</w:t>
      </w:r>
    </w:p>
    <w:p>
      <w:pPr>
        <w:spacing w:before="280" w:after="100"/>
      </w:pPr>
      <w:r>
        <w:rPr>
          <w:rFonts w:ascii="Arial" w:cs="Arial" w:eastAsia="Arial" w:hAnsi="Arial"/>
          <w:b/>
          <w:bCs/>
          <w:color w:val="1549A0"/>
          <w:sz w:val="28"/>
          <w:szCs w:val="28"/>
        </w:rPr>
        <w:t xml:space="preserve">7.1 Response Envelope</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Success:  { "success": true,  "data": {...}, "meta": { "requestId": "...", "ts": "..." } }</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Error:    { "success": false, "error": { "code": "ERR_CODE", "message": "...", "details": {} } }</w:t>
      </w:r>
    </w:p>
    <w:p>
      <w:pPr>
        <w:spacing w:after="80"/>
      </w:pPr>
      <w:r>
        <w:t xml:space="preserve"/>
      </w:r>
    </w:p>
    <w:p>
      <w:pPr>
        <w:spacing w:before="280" w:after="100"/>
      </w:pPr>
      <w:r>
        <w:rPr>
          <w:rFonts w:ascii="Arial" w:cs="Arial" w:eastAsia="Arial" w:hAnsi="Arial"/>
          <w:b/>
          <w:bCs/>
          <w:color w:val="1549A0"/>
          <w:sz w:val="28"/>
          <w:szCs w:val="28"/>
        </w:rPr>
        <w:t xml:space="preserve">7.2 Internal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2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Used For</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Protocol</w:t>
            </w:r>
          </w:p>
        </w:tc>
        <w:tc>
          <w:tcPr>
            <w:tcW w:type="dxa" w:w="27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Synchronous REST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Portal → Backend; Wallet → Backend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HTTPS + TLS 1.3</w:t>
            </w:r>
          </w:p>
        </w:tc>
        <w:tc>
          <w:tcPr>
            <w:tcW w:type="dxa" w:w="2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JWT auth; Zod validation; rate limited</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tRPC</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Portal ↔ Backend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HTTPS + tRPC</w:t>
            </w:r>
          </w:p>
        </w:tc>
        <w:tc>
          <w:tcPr>
            <w:tcW w:type="dxa" w:w="2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End-to-end TS types; no schema drift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gRPC (internal)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Service-to-service (Notify, Identity)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gRPC/HTTP2</w:t>
            </w:r>
          </w:p>
        </w:tc>
        <w:tc>
          <w:tcPr>
            <w:tcW w:type="dxa" w:w="2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mTLS via App Mesh; protobuf schemas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BullMQ (async)</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Bulk issuance, notification dispatch</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Redis queue</w:t>
            </w:r>
          </w:p>
        </w:tc>
        <w:tc>
          <w:tcPr>
            <w:tcW w:type="dxa" w:w="2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At-least-once delivery; retry with backoff</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WebSocket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Real-time QR verification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WSS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Session-bound; 10 min timeout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DIDComm v2</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Wallet ↔ Credential/Verify Svc</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HTTPS envelope</w:t>
            </w:r>
          </w:p>
        </w:tc>
        <w:tc>
          <w:tcPr>
            <w:tcW w:type="dxa" w:w="2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E2E encrypted P2P; mediator relay</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8. Scalability Design</w:t>
      </w:r>
    </w:p>
    <w:p>
      <w:pPr>
        <w:spacing w:before="280" w:after="100"/>
      </w:pPr>
      <w:r>
        <w:rPr>
          <w:rFonts w:ascii="Arial" w:cs="Arial" w:eastAsia="Arial" w:hAnsi="Arial"/>
          <w:b/>
          <w:bCs/>
          <w:color w:val="1549A0"/>
          <w:sz w:val="28"/>
          <w:szCs w:val="28"/>
        </w:rPr>
        <w:t xml:space="preserve">8.1 Scaling per 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800"/>
        <w:gridCol w:w="1360"/>
      </w:tblGrid>
      <w:tr>
        <w:trPr>
          <w:tblHeader/>
        </w:trPr>
        <w:tc>
          <w:tcPr>
            <w:tcW w:type="dxa" w:w="22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Service</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Scaling Axis</w:t>
            </w:r>
          </w:p>
        </w:tc>
        <w:tc>
          <w:tcPr>
            <w:tcW w:type="dxa" w:w="22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Trigger</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Min/Max Pods</w:t>
            </w:r>
          </w:p>
        </w:tc>
        <w:tc>
          <w:tcPr>
            <w:tcW w:type="dxa" w:w="13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Bottleneck</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Identity Service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Horizontal (HPA)</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CPU &gt; 60% for 2min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2 / 10</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Indy ledger write TPS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 Svc — API</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Horizontal (HPA)</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RPS &gt; 200/pod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3 / 20</w:t>
            </w:r>
          </w:p>
        </w:tc>
        <w:tc>
          <w:tcPr>
            <w:tcW w:type="dxa" w:w="1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HSM signing throughput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 Svc — Workers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Horizontal (KEDA)</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Queue depth &gt; 500</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 50</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HSM + DIDComm throughput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 Service</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Horizontal (HPA)</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CPU &gt; 70%</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3 / 30</w:t>
            </w:r>
          </w:p>
        </w:tc>
        <w:tc>
          <w:tcPr>
            <w:tcW w:type="dxa" w:w="1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ZKP verification (~80ms/proof)</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Notify Workers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Horizontal (KEDA)</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Queue depth &gt; 1000</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 20</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FCM/APNS rate limits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PostgreSQL</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Vertical + Read Replicas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Read replica on CPU &gt; 70%</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1+2 replicas</w:t>
            </w:r>
          </w:p>
        </w:tc>
        <w:tc>
          <w:tcPr>
            <w:tcW w:type="dxa" w:w="1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Single-primary writes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Redis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Cluster mode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Memory &gt; 75%</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3-node cluster</w:t>
            </w:r>
          </w:p>
        </w:tc>
        <w:tc>
          <w:tcPr>
            <w:tcW w:type="dxa" w:w="1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Network bandwidth</w:t>
            </w:r>
          </w:p>
        </w:tc>
      </w:tr>
    </w:tbl>
    <w:p>
      <w:pPr>
        <w:spacing w:after="80"/>
      </w:pPr>
      <w:r>
        <w:t xml:space="preserve"/>
      </w:r>
    </w:p>
    <w:p>
      <w:pPr>
        <w:spacing w:before="280" w:after="100"/>
      </w:pPr>
      <w:r>
        <w:rPr>
          <w:rFonts w:ascii="Arial" w:cs="Arial" w:eastAsia="Arial" w:hAnsi="Arial"/>
          <w:b/>
          <w:bCs/>
          <w:color w:val="1549A0"/>
          <w:sz w:val="28"/>
          <w:szCs w:val="28"/>
        </w:rPr>
        <w:t xml:space="preserve">8.2 Indy Ledger Throughput</w:t>
      </w:r>
    </w:p>
    <w:p>
      <w:pPr>
        <w:pStyle w:val="ListParagraph"/>
        <w:numPr>
          <w:ilvl w:val="0"/>
          <w:numId w:val="2"/>
        </w:numPr>
        <w:spacing w:after="60"/>
      </w:pPr>
      <w:r>
        <w:rPr>
          <w:rFonts w:ascii="Arial" w:cs="Arial" w:eastAsia="Arial" w:hAnsi="Arial"/>
          <w:color w:val="374151"/>
          <w:sz w:val="20"/>
          <w:szCs w:val="20"/>
        </w:rPr>
        <w:t xml:space="preserve">Write batching — DID anchoring requests queued; submitted in batches every 500ms</w:t>
      </w:r>
    </w:p>
    <w:p>
      <w:pPr>
        <w:pStyle w:val="ListParagraph"/>
        <w:numPr>
          <w:ilvl w:val="0"/>
          <w:numId w:val="2"/>
        </w:numPr>
        <w:spacing w:after="60"/>
      </w:pPr>
      <w:r>
        <w:rPr>
          <w:rFonts w:ascii="Arial" w:cs="Arial" w:eastAsia="Arial" w:hAnsi="Arial"/>
          <w:color w:val="374151"/>
          <w:sz w:val="20"/>
          <w:szCs w:val="20"/>
        </w:rPr>
        <w:t xml:space="preserve">Optimistic registration — wallet receives DID immediately; ledger anchoring is async</w:t>
      </w:r>
    </w:p>
    <w:p>
      <w:pPr>
        <w:pStyle w:val="ListParagraph"/>
        <w:numPr>
          <w:ilvl w:val="0"/>
          <w:numId w:val="2"/>
        </w:numPr>
        <w:spacing w:after="60"/>
      </w:pPr>
      <w:r>
        <w:rPr>
          <w:rFonts w:ascii="Arial" w:cs="Arial" w:eastAsia="Arial" w:hAnsi="Arial"/>
          <w:color w:val="374151"/>
          <w:sz w:val="20"/>
          <w:szCs w:val="20"/>
        </w:rPr>
        <w:t xml:space="preserve">did:web fallback — enterprise issuers can use did:web for faster onboarding (no ledger write)</w:t>
      </w:r>
    </w:p>
    <w:p>
      <w:pPr>
        <w:pStyle w:val="ListParagraph"/>
        <w:numPr>
          <w:ilvl w:val="0"/>
          <w:numId w:val="2"/>
        </w:numPr>
        <w:spacing w:after="60"/>
      </w:pPr>
      <w:r>
        <w:rPr>
          <w:rFonts w:ascii="Arial" w:cs="Arial" w:eastAsia="Arial" w:hAnsi="Arial"/>
          <w:color w:val="374151"/>
          <w:sz w:val="20"/>
          <w:szCs w:val="20"/>
        </w:rPr>
        <w:t xml:space="preserve">Caching — DID resolution cached in Redis 1hr; 95%+ of verifications hit cache, not ledger</w:t>
      </w:r>
    </w:p>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9. Security Architecture</w:t>
      </w:r>
    </w:p>
    <w:p>
      <w:pPr>
        <w:spacing w:before="280" w:after="100"/>
      </w:pPr>
      <w:r>
        <w:rPr>
          <w:rFonts w:ascii="Arial" w:cs="Arial" w:eastAsia="Arial" w:hAnsi="Arial"/>
          <w:b/>
          <w:bCs/>
          <w:color w:val="1549A0"/>
          <w:sz w:val="28"/>
          <w:szCs w:val="28"/>
        </w:rPr>
        <w:t xml:space="preserve">9.1 Trust Boundaries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Boundary</w:t>
            </w:r>
          </w:p>
        </w:tc>
        <w:tc>
          <w:tcPr>
            <w:tcW w:type="dxa" w:w="26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From → To</w:t>
            </w:r>
          </w:p>
        </w:tc>
        <w:tc>
          <w:tcPr>
            <w:tcW w:type="dxa" w:w="47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Security Control</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External → CDN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Internet → CloudFront/WAF</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DDoS protection, WAF rules, TLS 1.3, geo-blocking</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CDN → API Gateway</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CloudFront → AWS API GW</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TLS termination, JWT validation, rate limiting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API GW → Service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API GW → EKS Pod</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mTLS (App Mesh/Envoy), service account RBAC</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Service → Service</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Pod → Pod</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mTLS, gRPC auth headers, K8s network policies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Service → Database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Pod → RDS/Redis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TLS, IAM database auth, VPC-only, no public endpoint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Service → HSM</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Credential Svc → CloudHSM</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VPC HSM cluster, IAM + partition PIN, audit log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Service → Ledger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Identity Svc → Indy pool</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Indy auth, signed transactions, node allow-list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Wallet → Backend</w:t>
            </w:r>
          </w:p>
        </w:tc>
        <w:tc>
          <w:tcPr>
            <w:tcW w:type="dxa" w:w="26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Mobile → API GW</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Certificate pinning, JWT, DIDComm envelope encryption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Wallet → Verifier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Mobile → Verifier svc</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DIDComm v2 P2P encrypted — no backend in path</w:t>
            </w:r>
          </w:p>
        </w:tc>
      </w:tr>
    </w:tbl>
    <w:p>
      <w:pPr>
        <w:spacing w:after="80"/>
      </w:pPr>
      <w:r>
        <w:t xml:space="preserve"/>
      </w:r>
    </w:p>
    <w:p>
      <w:pPr>
        <w:spacing w:before="280" w:after="100"/>
      </w:pPr>
      <w:r>
        <w:rPr>
          <w:rFonts w:ascii="Arial" w:cs="Arial" w:eastAsia="Arial" w:hAnsi="Arial"/>
          <w:b/>
          <w:bCs/>
          <w:color w:val="1549A0"/>
          <w:sz w:val="28"/>
          <w:szCs w:val="28"/>
        </w:rPr>
        <w:t xml:space="preserve">9.2 Authentication Model</w:t>
      </w:r>
    </w:p>
    <w:p>
      <w:pPr>
        <w:pStyle w:val="ListParagraph"/>
        <w:numPr>
          <w:ilvl w:val="0"/>
          <w:numId w:val="2"/>
        </w:numPr>
        <w:spacing w:after="60"/>
      </w:pPr>
      <w:r>
        <w:rPr>
          <w:rFonts w:ascii="Arial" w:cs="Arial" w:eastAsia="Arial" w:hAnsi="Arial"/>
          <w:color w:val="374151"/>
          <w:sz w:val="20"/>
          <w:szCs w:val="20"/>
        </w:rPr>
        <w:t xml:space="preserve">End users (wallet): biometric + device-bound DID — no password; no server-side session</w:t>
      </w:r>
    </w:p>
    <w:p>
      <w:pPr>
        <w:pStyle w:val="ListParagraph"/>
        <w:numPr>
          <w:ilvl w:val="0"/>
          <w:numId w:val="2"/>
        </w:numPr>
        <w:spacing w:after="60"/>
      </w:pPr>
      <w:r>
        <w:rPr>
          <w:rFonts w:ascii="Arial" w:cs="Arial" w:eastAsia="Arial" w:hAnsi="Arial"/>
          <w:color w:val="374151"/>
          <w:sz w:val="20"/>
          <w:szCs w:val="20"/>
        </w:rPr>
        <w:t xml:space="preserve">Issuer admins: email+password + TOTP MFA; short-lived JWT (15 min) + refresh token (7 days)</w:t>
      </w:r>
    </w:p>
    <w:p>
      <w:pPr>
        <w:pStyle w:val="ListParagraph"/>
        <w:numPr>
          <w:ilvl w:val="0"/>
          <w:numId w:val="2"/>
        </w:numPr>
        <w:spacing w:after="60"/>
      </w:pPr>
      <w:r>
        <w:rPr>
          <w:rFonts w:ascii="Arial" w:cs="Arial" w:eastAsia="Arial" w:hAnsi="Arial"/>
          <w:color w:val="374151"/>
          <w:sz w:val="20"/>
          <w:szCs w:val="20"/>
        </w:rPr>
        <w:t xml:space="preserve">Verifier SDK: API key (SHA-256 hashed in DB) + webhook signing secret; IP allow-listing</w:t>
      </w:r>
    </w:p>
    <w:p>
      <w:pPr>
        <w:pStyle w:val="ListParagraph"/>
        <w:numPr>
          <w:ilvl w:val="0"/>
          <w:numId w:val="2"/>
        </w:numPr>
        <w:spacing w:after="60"/>
      </w:pPr>
      <w:r>
        <w:rPr>
          <w:rFonts w:ascii="Arial" w:cs="Arial" w:eastAsia="Arial" w:hAnsi="Arial"/>
          <w:color w:val="374151"/>
          <w:sz w:val="20"/>
          <w:szCs w:val="20"/>
        </w:rPr>
        <w:t xml:space="preserve">Service-to-service: mTLS certs from internal CA; rotated every 90 days via cert-manager</w:t>
      </w:r>
    </w:p>
    <w:p>
      <w:pPr>
        <w:pStyle w:val="ListParagraph"/>
        <w:numPr>
          <w:ilvl w:val="0"/>
          <w:numId w:val="2"/>
        </w:numPr>
        <w:spacing w:after="60"/>
      </w:pPr>
      <w:r>
        <w:rPr>
          <w:rFonts w:ascii="Arial" w:cs="Arial" w:eastAsia="Arial" w:hAnsi="Arial"/>
          <w:color w:val="374151"/>
          <w:sz w:val="20"/>
          <w:szCs w:val="20"/>
        </w:rPr>
        <w:t xml:space="preserve">Admin access: AWS IAM + SSO (Okta); CloudTrail audit on all admin actions</w:t>
      </w:r>
    </w:p>
    <w:p>
      <w:pPr>
        <w:spacing w:after="80"/>
      </w:pPr>
      <w:r>
        <w:t xml:space="preserve"/>
      </w:r>
    </w:p>
    <w:p>
      <w:pPr>
        <w:spacing w:before="280" w:after="100"/>
      </w:pPr>
      <w:r>
        <w:rPr>
          <w:rFonts w:ascii="Arial" w:cs="Arial" w:eastAsia="Arial" w:hAnsi="Arial"/>
          <w:b/>
          <w:bCs/>
          <w:color w:val="1549A0"/>
          <w:sz w:val="28"/>
          <w:szCs w:val="28"/>
        </w:rPr>
        <w:t xml:space="preserve">9.3 Threat Model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Threat</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STRIDE</w:t>
            </w:r>
          </w:p>
        </w:tc>
        <w:tc>
          <w:tcPr>
            <w:tcW w:type="dxa" w:w="47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Mitigation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Attacker intercepts VC during issuance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Spoofing + Disclosure</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DIDComm v2 E2E encryption; certificate pinning</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Compromised issuer server issues fake VCs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Tampering</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Issuer private key in CloudHSM — inaccessible to server code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Replay attack with expired presentation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Repudiation</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VPs include nonce + expiry; Verify Svc rejects reused nonces</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User device stolen — wallet accessed</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Info Disclosure</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Biometric lock; Secure Enclave key unusable without biometric</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SQL injection on issuer portal</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Tampering</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Parameterized queries (Prisma ORM); SAST in CI pipeline</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Mass revocation by rogue admin</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Denial of Service</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MFA required for revocation; audit log + PagerDuty alert</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 spoofing — attacker claims issuer DID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Spoofing</w:t>
            </w:r>
          </w:p>
        </w:tc>
        <w:tc>
          <w:tcPr>
            <w:tcW w:type="dxa" w:w="47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DID Docs on immutable ledger; signature verification mandatory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Metadata correlation across verifiers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Info Disclosure</w:t>
            </w:r>
          </w:p>
        </w:tc>
        <w:tc>
          <w:tcPr>
            <w:tcW w:type="dxa" w:w="47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Pairwise DIDs — different DID per verifier; no common identifier</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10. Failure Handling &amp; Resilience</w:t>
      </w:r>
    </w:p>
    <w:p>
      <w:pPr>
        <w:spacing w:before="280" w:after="100"/>
      </w:pPr>
      <w:r>
        <w:rPr>
          <w:rFonts w:ascii="Arial" w:cs="Arial" w:eastAsia="Arial" w:hAnsi="Arial"/>
          <w:b/>
          <w:bCs/>
          <w:color w:val="1549A0"/>
          <w:sz w:val="28"/>
          <w:szCs w:val="28"/>
        </w:rPr>
        <w:t xml:space="preserve">10.1 Failure Mode Analysis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Failure</w:t>
            </w:r>
          </w:p>
        </w:tc>
        <w:tc>
          <w:tcPr>
            <w:tcW w:type="dxa" w:w="2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Impact</w:t>
            </w:r>
          </w:p>
        </w:tc>
        <w:tc>
          <w:tcPr>
            <w:tcW w:type="dxa" w:w="31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Recovery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Indy Ledger (all nodes)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All nodes down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Cannot issue new VCs; existing VCs verifiable via cache</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5-node pool; Redis cache; did:web fallback</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CloudHSM</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Unavailable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Issuance blocked; no data loss; verification fine</w:t>
            </w:r>
          </w:p>
        </w:tc>
        <w:tc>
          <w:tcPr>
            <w:tcW w:type="dxa" w:w="31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HSM cluster (2 partitions); BullMQ job retry on recovery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PostgreSQL Primary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Write failure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API errors (reads via replica continue)</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RDS Multi-AZ failover &lt; 60s; idempotent writes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Cache unavailable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Increased latency; BullMQ jobs at risk</w:t>
            </w:r>
          </w:p>
        </w:tc>
        <w:tc>
          <w:tcPr>
            <w:tcW w:type="dxa" w:w="31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ElastiCache Multi-AZ; Sentinel; PostgreSQL fallback</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 Service pod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Crash</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In-flight issuances fail; bulk jobs pause</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K8s restart &lt; 30s; BullMQ retry with backoff (max 5x)</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DIDComm Mediator</w:t>
            </w:r>
          </w:p>
        </w:tc>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Offline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Wallet cannot receive new VCs while offline</w:t>
            </w:r>
          </w:p>
        </w:tc>
        <w:tc>
          <w:tcPr>
            <w:tcW w:type="dxa" w:w="31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HA mediator; wallet retries with exponential backoff</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Mobile App</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Crash</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User locked out temporarily</w:t>
            </w:r>
          </w:p>
        </w:tc>
        <w:tc>
          <w:tcPr>
            <w:tcW w:type="dxa" w:w="31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Local SQLCipher DB intact; state restored on restart</w:t>
            </w:r>
          </w:p>
        </w:tc>
      </w:tr>
    </w:tbl>
    <w:p>
      <w:pPr>
        <w:spacing w:after="80"/>
      </w:pPr>
      <w:r>
        <w:t xml:space="preserve"/>
      </w:r>
    </w:p>
    <w:p>
      <w:pPr>
        <w:spacing w:before="280" w:after="100"/>
      </w:pPr>
      <w:r>
        <w:rPr>
          <w:rFonts w:ascii="Arial" w:cs="Arial" w:eastAsia="Arial" w:hAnsi="Arial"/>
          <w:b/>
          <w:bCs/>
          <w:color w:val="1549A0"/>
          <w:sz w:val="28"/>
          <w:szCs w:val="28"/>
        </w:rPr>
        <w:t xml:space="preserve">10.2 Circuit Breaker Thresholds</w:t>
      </w:r>
    </w:p>
    <w:p>
      <w:pPr>
        <w:pStyle w:val="ListParagraph"/>
        <w:numPr>
          <w:ilvl w:val="0"/>
          <w:numId w:val="3"/>
        </w:numPr>
        <w:spacing w:after="55"/>
      </w:pPr>
      <w:r>
        <w:rPr>
          <w:rFonts w:ascii="Arial" w:cs="Arial" w:eastAsia="Arial" w:hAnsi="Arial"/>
          <w:b/>
          <w:bCs/>
          <w:color w:val="0B1D35"/>
          <w:sz w:val="19"/>
          <w:szCs w:val="19"/>
        </w:rPr>
        <w:t xml:space="preserve">Closed → Open: </w:t>
      </w:r>
      <w:r>
        <w:rPr>
          <w:rFonts w:ascii="Arial" w:cs="Arial" w:eastAsia="Arial" w:hAnsi="Arial"/>
          <w:color w:val="374151"/>
          <w:sz w:val="19"/>
          <w:szCs w:val="19"/>
        </w:rPr>
        <w:t xml:space="preserve">5 consecutive failures OR error rate &gt; 50% in 10s window</w:t>
      </w:r>
    </w:p>
    <w:p>
      <w:pPr>
        <w:pStyle w:val="ListParagraph"/>
        <w:numPr>
          <w:ilvl w:val="0"/>
          <w:numId w:val="3"/>
        </w:numPr>
        <w:spacing w:after="55"/>
      </w:pPr>
      <w:r>
        <w:rPr>
          <w:rFonts w:ascii="Arial" w:cs="Arial" w:eastAsia="Arial" w:hAnsi="Arial"/>
          <w:b/>
          <w:bCs/>
          <w:color w:val="0B1D35"/>
          <w:sz w:val="19"/>
          <w:szCs w:val="19"/>
        </w:rPr>
        <w:t xml:space="preserve">Open → Half-Open: </w:t>
      </w:r>
      <w:r>
        <w:rPr>
          <w:rFonts w:ascii="Arial" w:cs="Arial" w:eastAsia="Arial" w:hAnsi="Arial"/>
          <w:color w:val="374151"/>
          <w:sz w:val="19"/>
          <w:szCs w:val="19"/>
        </w:rPr>
        <w:t xml:space="preserve">After 30 seconds cool-down</w:t>
      </w:r>
    </w:p>
    <w:p>
      <w:pPr>
        <w:pStyle w:val="ListParagraph"/>
        <w:numPr>
          <w:ilvl w:val="0"/>
          <w:numId w:val="3"/>
        </w:numPr>
        <w:spacing w:after="55"/>
      </w:pPr>
      <w:r>
        <w:rPr>
          <w:rFonts w:ascii="Arial" w:cs="Arial" w:eastAsia="Arial" w:hAnsi="Arial"/>
          <w:b/>
          <w:bCs/>
          <w:color w:val="0B1D35"/>
          <w:sz w:val="19"/>
          <w:szCs w:val="19"/>
        </w:rPr>
        <w:t xml:space="preserve">Half-Open → Closed: </w:t>
      </w:r>
      <w:r>
        <w:rPr>
          <w:rFonts w:ascii="Arial" w:cs="Arial" w:eastAsia="Arial" w:hAnsi="Arial"/>
          <w:color w:val="374151"/>
          <w:sz w:val="19"/>
          <w:szCs w:val="19"/>
        </w:rPr>
        <w:t xml:space="preserve">3 consecutive successful probe requests</w:t>
      </w:r>
    </w:p>
    <w:p>
      <w:pPr>
        <w:pStyle w:val="ListParagraph"/>
        <w:numPr>
          <w:ilvl w:val="0"/>
          <w:numId w:val="3"/>
        </w:numPr>
        <w:spacing w:after="55"/>
      </w:pPr>
      <w:r>
        <w:rPr>
          <w:rFonts w:ascii="Arial" w:cs="Arial" w:eastAsia="Arial" w:hAnsi="Arial"/>
          <w:b/>
          <w:bCs/>
          <w:color w:val="0B1D35"/>
          <w:sz w:val="19"/>
          <w:szCs w:val="19"/>
        </w:rPr>
        <w:t xml:space="preserve">Fallback: </w:t>
      </w:r>
      <w:r>
        <w:rPr>
          <w:rFonts w:ascii="Arial" w:cs="Arial" w:eastAsia="Arial" w:hAnsi="Arial"/>
          <w:color w:val="374151"/>
          <w:sz w:val="19"/>
          <w:szCs w:val="19"/>
        </w:rPr>
        <w:t xml:space="preserve">Return cached response if available; return 503 with Retry-After if not</w:t>
      </w:r>
    </w:p>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11. Deployment Architecture</w:t>
      </w:r>
    </w:p>
    <w:p>
      <w:pPr>
        <w:spacing w:before="280" w:after="100"/>
      </w:pPr>
      <w:r>
        <w:rPr>
          <w:rFonts w:ascii="Arial" w:cs="Arial" w:eastAsia="Arial" w:hAnsi="Arial"/>
          <w:b/>
          <w:bCs/>
          <w:color w:val="1549A0"/>
          <w:sz w:val="28"/>
          <w:szCs w:val="28"/>
        </w:rPr>
        <w:t xml:space="preserve">11.1 Kubernetes Structure</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namespace: vaultid-prod</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identity-svc          (Deployment: 2-10 pods, HPA)</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credential-svc-api    (Deployment: 3-20 pods, HPA)</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credential-svc-worker (Deployment: 1-50 pods, KEDA on queue depth)</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verify-svc            (Deployment: 3-30 pods, HPA)</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notify-svc-worker     (Deployment: 1-20 pods, KEDA)</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aries-mediator        (StatefulSet: 3 pods)</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ipfs-gateway          (Deployment: 2 pods)</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namespace: vaultid-infra</w:t>
      </w:r>
    </w:p>
    <w:p>
      <w:pPr>
        <w:pBdr>
          <w:left w:val="single" w:color="0891B2" w:sz="14" w:space="1"/>
        </w:pBdr>
        <w:shd w:fill="F0F9FF" w:val="clear"/>
        <w:spacing w:after="50"/>
        <w:ind w:left="360"/>
      </w:pPr>
      <w:r>
        <w:rPr>
          <w:rFonts w:ascii="Courier New" w:cs="Courier New" w:eastAsia="Courier New" w:hAnsi="Courier New"/>
          <w:color w:val="0C4A6E"/>
          <w:sz w:val="18"/>
          <w:szCs w:val="18"/>
        </w:rPr>
        <w:t xml:space="preserve">  argocd  |  cert-manager  |  external-dns  |  prometheus-stack</w:t>
      </w:r>
    </w:p>
    <w:p>
      <w:pPr>
        <w:spacing w:after="80"/>
      </w:pPr>
      <w:r>
        <w:t xml:space="preserve"/>
      </w:r>
    </w:p>
    <w:p>
      <w:pPr>
        <w:spacing w:before="280" w:after="100"/>
      </w:pPr>
      <w:r>
        <w:rPr>
          <w:rFonts w:ascii="Arial" w:cs="Arial" w:eastAsia="Arial" w:hAnsi="Arial"/>
          <w:b/>
          <w:bCs/>
          <w:color w:val="1549A0"/>
          <w:sz w:val="28"/>
          <w:szCs w:val="28"/>
        </w:rPr>
        <w:t xml:space="preserve">11.2 Multi-Region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Region</w:t>
            </w:r>
          </w:p>
        </w:tc>
        <w:tc>
          <w:tcPr>
            <w:tcW w:type="dxa" w:w="2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AWS Region</w:t>
            </w:r>
          </w:p>
        </w:tc>
        <w:tc>
          <w:tcPr>
            <w:tcW w:type="dxa" w:w="30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25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Stored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EU Primary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eu-west-1 (Ireland)</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EU customer traffic; GDPR compliance</w:t>
            </w:r>
          </w:p>
        </w:tc>
        <w:tc>
          <w:tcPr>
            <w:tcW w:type="dxa" w:w="2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EU issuance logs, EU org data</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India Primary</w:t>
            </w:r>
          </w:p>
        </w:tc>
        <w:tc>
          <w:tcPr>
            <w:tcW w:type="dxa" w:w="2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ap-south-1 (Mumbai)</w:t>
            </w:r>
          </w:p>
        </w:tc>
        <w:tc>
          <w:tcPr>
            <w:tcW w:type="dxa" w:w="30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India customer traffic; data residency</w:t>
            </w:r>
          </w:p>
        </w:tc>
        <w:tc>
          <w:tcPr>
            <w:tcW w:type="dxa" w:w="25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India issuance logs, India org data</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DR Backup</w:t>
            </w:r>
          </w:p>
        </w:tc>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eu-central-1 (Frankfurt)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PostgreSQL cross-region backup</w:t>
            </w:r>
          </w:p>
        </w:tc>
        <w:tc>
          <w:tcPr>
            <w:tcW w:type="dxa" w:w="25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Encrypted DB snapshots only — no live traffic</w:t>
            </w:r>
          </w:p>
        </w:tc>
      </w:tr>
    </w:tbl>
    <w:p>
      <w:pPr>
        <w:pBdr>
          <w:bottom w:val="single" w:color="CBD5E1" w:sz="6" w:space="1"/>
        </w:pBdr>
        <w:spacing w:before="200" w:after="200"/>
      </w:pPr>
      <w:r>
        <w:t xml:space="preserve"/>
      </w:r>
    </w:p>
    <w:p>
      <w:pPr>
        <w:spacing w:before="400" w:after="140"/>
      </w:pPr>
      <w:r>
        <w:rPr>
          <w:rFonts w:ascii="Arial" w:cs="Arial" w:eastAsia="Arial" w:hAnsi="Arial"/>
          <w:b/>
          <w:bCs/>
          <w:color w:val="0B1D35"/>
          <w:sz w:val="40"/>
          <w:szCs w:val="40"/>
        </w:rPr>
        <w:t xml:space="preserve">12. Service Level Objectives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Service</w:t>
            </w:r>
          </w:p>
        </w:tc>
        <w:tc>
          <w:tcPr>
            <w:tcW w:type="dxa" w:w="2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Metric</w:t>
            </w:r>
          </w:p>
        </w:tc>
        <w:tc>
          <w:tcPr>
            <w:tcW w:type="dxa" w:w="240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w:t>
            </w:r>
          </w:p>
        </w:tc>
        <w:tc>
          <w:tcPr>
            <w:tcW w:type="dxa" w:w="2360"/>
            <w:tcBorders>
              <w:top w:val="single" w:color="CBD5E1" w:sz="1"/>
              <w:left w:val="single" w:color="CBD5E1" w:sz="1"/>
              <w:bottom w:val="single" w:color="CBD5E1" w:sz="1"/>
              <w:right w:val="single" w:color="CBD5E1" w:sz="1"/>
            </w:tcBorders>
            <w:shd w:fill="0B1D35" w:val="clear"/>
            <w:tcMar>
              <w:top w:type="dxa" w:w="100"/>
              <w:left w:type="dxa" w:w="140"/>
              <w:bottom w:type="dxa" w:w="100"/>
              <w:right w:type="dxa" w:w="140"/>
            </w:tcMar>
            <w:vAlign w:val="center"/>
          </w:tcPr>
          <w:p>
            <w:r>
              <w:rPr>
                <w:rFonts w:ascii="Arial" w:cs="Arial" w:eastAsia="Arial" w:hAnsi="Arial"/>
                <w:b/>
                <w:bCs/>
                <w:color w:val="FFFFFF"/>
                <w:sz w:val="19"/>
                <w:szCs w:val="19"/>
              </w:rPr>
              <w:t xml:space="preserve">Alert Threshold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All APIs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Availability (2xx/3xx)</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99.9% uptime (rolling 30d)</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&lt; 99.5% → P1</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Verify Service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Proof verification p95</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&lt; 800ms (rolling 7d)</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p95 &gt; 1.5s → P2</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Credential Service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Issuance latency p95</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&lt; 5 seconds (rolling 7d)</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p95 &gt; 10s → P2</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DID Resolution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Cache hit rate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&gt; 90% (rolling 24h)</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&lt; 80% → P3</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Mobile App</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Crash-free session rate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&gt; 99.5% (rolling 7d)</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&lt; 99% → P2</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Push Notifications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Delivery rate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&gt; 98% (rolling 24h)</w:t>
            </w:r>
          </w:p>
        </w:tc>
        <w:tc>
          <w:tcPr>
            <w:tcW w:type="dxa" w:w="236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374151"/>
                <w:sz w:val="19"/>
                <w:szCs w:val="19"/>
              </w:rPr>
              <w:t xml:space="preserve">&lt; 95% → P3</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b/>
                <w:bCs/>
                <w:color w:val="0B1D35"/>
                <w:sz w:val="18"/>
                <w:szCs w:val="18"/>
              </w:rPr>
              <w:t xml:space="preserve">Bulk Issuance Jobs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Completion rate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&gt; 99% per batch</w:t>
            </w:r>
          </w:p>
        </w:tc>
        <w:tc>
          <w:tcPr>
            <w:tcW w:type="dxa" w:w="236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&lt; 95% on any batch → P2</w:t>
            </w:r>
          </w:p>
        </w:tc>
      </w:tr>
    </w:tbl>
    <w:p>
      <w:pPr>
        <w:pBdr>
          <w:bottom w:val="single" w:color="CBD5E1" w:sz="6" w:space="1"/>
        </w:pBdr>
        <w:spacing w:before="200" w:after="200"/>
      </w:pPr>
      <w:r>
        <w:t xml:space="preserve"/>
      </w:r>
    </w:p>
    <w:p>
      <w:pPr>
        <w:spacing w:after="200"/>
      </w:pPr>
      <w:r>
        <w:t xml:space="preserve"/>
      </w:r>
    </w:p>
    <w:p>
      <w:pPr>
        <w:pBdr>
          <w:bottom w:val="single" w:color="0891B2" w:sz="8" w:space="1"/>
        </w:pBdr>
        <w:spacing w:before="200" w:after="200"/>
      </w:pPr>
      <w:r>
        <w:t xml:space="preserve"/>
      </w:r>
    </w:p>
    <w:p>
      <w:pPr>
        <w:spacing w:after="60"/>
        <w:jc w:val="center"/>
      </w:pPr>
      <w:r>
        <w:rPr>
          <w:rFonts w:ascii="Arial" w:cs="Arial" w:eastAsia="Arial" w:hAnsi="Arial"/>
          <w:i/>
          <w:iCs/>
          <w:color w:val="6B7280"/>
          <w:sz w:val="19"/>
          <w:szCs w:val="19"/>
        </w:rPr>
        <w:t xml:space="preserve">— End of System Design Document —</w:t>
      </w:r>
    </w:p>
    <w:p>
      <w:pPr>
        <w:jc w:val="center"/>
      </w:pPr>
      <w:r>
        <w:rPr>
          <w:rFonts w:ascii="Arial" w:cs="Arial" w:eastAsia="Arial" w:hAnsi="Arial"/>
          <w:color w:val="94A3B8"/>
          <w:sz w:val="17"/>
          <w:szCs w:val="17"/>
        </w:rPr>
        <w:t xml:space="preserve">VaultID  ·  Personal Data Wallet  ·  Version 1.0  ·  Confidential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B7280"/>
        <w:sz w:val="16"/>
        <w:szCs w:val="16"/>
      </w:rPr>
      <w:t xml:space="preserve">VaultID SSI  ·  System Design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0"/>
    </w:pPr>
    <w:r>
      <w:rPr>
        <w:rFonts w:ascii="Arial" w:cs="Arial" w:eastAsia="Arial" w:hAnsi="Arial"/>
        <w:color w:val="94A3B8"/>
        <w:sz w:val="17"/>
        <w:szCs w:val="17"/>
      </w:rPr>
      <w:t xml:space="preserve">VaultID  —  System Design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B1D35"/>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549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2026-03-06T07:22:42.614Z</dcterms:created>
  <dcterms:modified xsi:type="dcterms:W3CDTF">2026-03-06T07:22:42.615Z</dcterms:modified>
</cp:coreProperties>
</file>

<file path=docProps/custom.xml><?xml version="1.0" encoding="utf-8"?>
<Properties xmlns="http://schemas.openxmlformats.org/officeDocument/2006/custom-properties" xmlns:vt="http://schemas.openxmlformats.org/officeDocument/2006/docPropsVTypes"/>
</file>