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Interview Scorecard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Candidate &amp; Interview Details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1200"/>
        <w:gridCol w:w="1150"/>
      </w:tblGrid>
      <w:t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Name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Aditya Kulkarni</w:t>
            </w:r>
          </w:p>
        </w:tc>
        <w:tc>
          <w:tcPr>
            <w:tcW w:type="dxa" w:w="1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REQ-2026-052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Applied For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Territory Sales Manager - Pune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&amp; Marketing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Round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L2 - Final Round (Panel)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August 2026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Interviewer(s)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Arjun Nair (Hiring Manager), Pooja Verma (HR)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Referral</w:t>
            </w:r>
          </w:p>
        </w:tc>
      </w:tr>
      <w:t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Employer / Notice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GreenVolt Energy Systems Pvt. Ltd. / 30 days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CTC / Expected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₹7.8 L / ₹9.5 L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Competency-Based Evaluation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Scale: 1 = Well Below Bar, 2 = Below Bar, 3 = Meets Bar, 4 = Above Bar, 5 = Exceptional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1350"/>
        <w:gridCol w:w="5200"/>
      </w:tblGrid>
      <w:tr>
        <w:tc>
          <w:tcPr>
            <w:tcW w:type="dxa" w:w="2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W w:type="dxa" w:w="13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Notes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Knowledge (C&amp;I Solar / EPC Sales)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understanding of C&amp;I procurement cycles and net-metering regulatory nuances in Maharashtra; has closed 3 deals &gt;500kW at current employer.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Consultative Selling / Solution Approach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Walked through a real deal where he tailored the proposal after identifying the customer's actual pain point (O&amp;M cost, not just upfront price) — good structured example.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Negotiation &amp; Commercial Acumen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Reasonable grasp of margin trade-offs, but answers on payment-terms negotiation were a bit generic; probed with a follow-up scenario and he recovered well.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Territory / Pipeline Management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a CRM discipline already (Zoho, same as ours) and described a clear weekly pipeline review habit.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&amp; Presence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Clear, confident, listens well before answering — panel consensus this was a standout area.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Culture / Values Fit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Referenced ownership and follow-through naturally in examples; asked thoughtful questions back about how Sales and R&amp;D collaborate on customizations.</w:t>
            </w:r>
          </w:p>
        </w:tc>
      </w:tr>
    </w:tbl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Overall Assessment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Strengths: Strong domain fit for C&amp;I solar sales, existing CRM discipline, good communication, comes with a referral from within the Sales team (positive signal on culture fit).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Concerns: Negotiation depth is a notch below ideal for a standalone territory owner — will likely need close coaching from Arjun in the first 2 quarters. Notice period (30 days) is workable against our REQ-2026-052 timeline.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Reference check: Completed with his current Reporting Manager at GreenVolt — confirmed target achievement (108% of FY25-26 quota) and no concerns raised.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Recommendation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4350"/>
      </w:tblGrid>
      <w:tr>
        <w:tc>
          <w:tcPr>
            <w:tcW w:type="dxa" w:w="5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Recommendation</w:t>
            </w:r>
          </w:p>
        </w:tc>
        <w:tc>
          <w:tcPr>
            <w:tcW w:type="dxa" w:w="43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Hire</w:t>
            </w:r>
          </w:p>
        </w:tc>
      </w:tr>
    </w:tbl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Recommended offer: ₹9.5 L CTC (within budgeted band for REQ-2026-052, see Recruitment Tracker), standard M1-equivalent sales grade with variable incentive structure per the Sales Compensation Plan.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Panel Sign-Off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75"/>
        <w:gridCol w:w="4675"/>
      </w:tblGrid>
      <w:tr>
        <w:tc>
          <w:tcPr>
            <w:tcW w:type="dxa" w:w="4675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4675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/ Talent Acquisition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
_____________________________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
_____________________________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Arjun Nair
Vice President, Sales &amp; Marketing
Date: _______________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Pooja Verma
Executive - Talent Acquisition
Date: 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50"/>
      </w:tabs>
    </w:pPr>
    <w:r>
      <w:rPr>
        <w:rFonts w:ascii="Arial" w:cs="Arial" w:eastAsia="Arial" w:hAnsi="Arial"/>
        <w:color w:val="595959"/>
        <w:sz w:val="14"/>
        <w:szCs w:val="14"/>
      </w:rPr>
      <w:t xml:space="preserve">Interview Scorecard - Confidential — Confidential</w:t>
    </w:r>
    <w:r>
      <w:tab/>
    </w:r>
    <w:r>
      <w:rPr>
        <w:rFonts w:ascii="Arial" w:cs="Arial" w:eastAsia="Arial" w:hAnsi="Arial"/>
        <w:color w:val="595959"/>
        <w:sz w:val="14"/>
        <w:szCs w:val="14"/>
      </w:rPr>
      <w:t xml:space="preserve">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of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8" w:space="4"/>
      </w:pBdr>
      <w:spacing w:after="60"/>
    </w:pPr>
    <w:r>
      <w:rPr>
        <w:rFonts w:ascii="Arial" w:cs="Arial" w:eastAsia="Arial" w:hAnsi="Arial"/>
        <w:b/>
        <w:bCs/>
        <w:color w:val="1F4E78"/>
        <w:sz w:val="24"/>
        <w:szCs w:val="24"/>
      </w:rPr>
      <w:t xml:space="preserve">SOLARA RENEWABLES</w:t>
    </w:r>
  </w:p>
  <w:p>
    <w:r>
      <w:rPr>
        <w:rFonts w:ascii="Arial" w:cs="Arial" w:eastAsia="Arial" w:hAnsi="Arial"/>
        <w:color w:val="595959"/>
        <w:sz w:val="14"/>
        <w:szCs w:val="14"/>
      </w:rPr>
      <w:t xml:space="preserve">Plot No. 42, MIDC Industrial Area, Chakan, Pune - 410501, Maharashtra, India  |  CIN: U40106PN2014PTC151234  |  www.solararenewables.in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2026-09-02T19:20:32.035Z</dcterms:created>
  <dcterms:modified xsi:type="dcterms:W3CDTF">2026-09-02T19:20:32.035Z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