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f77dd0cece1e22ac1cd76dfac91474f153a899"/>
      <w:r>
        <w:t xml:space="preserve">Northwood EPC Group — Portfolio Risk Review (End of Q2, Last Fiscal Year)</w:t>
      </w:r>
      <w:bookmarkEnd w:id="20"/>
    </w:p>
    <w:p>
      <w:pPr>
        <w:pStyle w:val="BlockText"/>
      </w:pPr>
      <w:r>
        <w:rPr>
          <w:b/>
        </w:rPr>
        <w:t xml:space="preserve">Note on this document’s role as a worked example.</w:t>
      </w:r>
      <w:r>
        <w:t xml:space="preserve"> </w:t>
      </w:r>
      <w:r>
        <w:t xml:space="preserve">This is a Northwood Portfolio Risk Review at end of Q2 of last fiscal year — a notional date when Skyhawk Solar, Riverside Water, and Ironvale Smelter were all live in the active portfolio (Skyhawk mid-execution at Week 30 of 60; Riverside late-execution at Week 70 of 92 post-UV change order; Ironvale at Mechanical Completion handover). The review is the Sponsor-facing artefact that surfaces cross-cutting risk patterns across multiple projects — the analysis that no single-project Risk Analyst produces because no single-project agent sees the portfolio. When the Portfolio Risk Reviewer agent uses this as a worked example for a Week 0 portfolio review including a newly-active project, two adaptations apply. First, at a Week 0 state with one newly-active project plus others in the portfolio, the agent produces the portfolio review treating the new project as one entry alongside the others, with placeholders where the other projects’ specific risk data is not yet in this agent’s context. Second, items shown with inline italic annotations — pattern-emergence thresholds, recommended portfolio-action timing, Sponsor-decision dates — would carry</w:t>
      </w:r>
      <w:r>
        <w:t xml:space="preserve"> </w:t>
      </w:r>
      <w:r>
        <w:rPr>
          <w:rStyle w:val="VerbatimChar"/>
        </w:rPr>
        <w:t xml:space="preserve">[NEEDS PM REVIEW]</w:t>
      </w:r>
      <w:r>
        <w:t xml:space="preserve"> </w:t>
      </w:r>
      <w:r>
        <w:t xml:space="preserve">flags at draft stage. The state shown reflects the cross-cutting analysis committed by the PMO at the Q2 portfolio review.</w:t>
      </w:r>
    </w:p>
    <w:p>
      <w:pPr>
        <w:pStyle w:val="Heading2"/>
      </w:pPr>
      <w:bookmarkStart w:id="21" w:name="portfolio-context"/>
      <w:r>
        <w:t xml:space="preserve">1. Portfolio context</w:t>
      </w:r>
      <w:bookmarkEnd w:id="21"/>
    </w:p>
    <w:p>
      <w:pPr>
        <w:numPr>
          <w:ilvl w:val="0"/>
          <w:numId w:val="1001"/>
        </w:numPr>
        <w:pStyle w:val="Compact"/>
      </w:pPr>
      <w:r>
        <w:rPr>
          <w:b/>
        </w:rPr>
        <w:t xml:space="preserve">Review date:</w:t>
      </w:r>
      <w:r>
        <w:t xml:space="preserve"> </w:t>
      </w:r>
      <w:r>
        <w:t xml:space="preserve">End of Q2, last fiscal year</w:t>
      </w:r>
    </w:p>
    <w:p>
      <w:pPr>
        <w:numPr>
          <w:ilvl w:val="0"/>
          <w:numId w:val="1001"/>
        </w:numPr>
        <w:pStyle w:val="Compact"/>
      </w:pPr>
      <w:r>
        <w:rPr>
          <w:b/>
        </w:rPr>
        <w:t xml:space="preserve">Portfolio coverage:</w:t>
      </w:r>
      <w:r>
        <w:t xml:space="preserve"> </w:t>
      </w:r>
      <w:r>
        <w:t xml:space="preserve">Three active projects in execution or closeout state</w:t>
      </w:r>
    </w:p>
    <w:p>
      <w:pPr>
        <w:numPr>
          <w:ilvl w:val="0"/>
          <w:numId w:val="1001"/>
        </w:numPr>
        <w:pStyle w:val="Compact"/>
      </w:pPr>
      <w:r>
        <w:rPr>
          <w:b/>
        </w:rPr>
        <w:t xml:space="preserve">Total contract value:</w:t>
      </w:r>
      <w:r>
        <w:t xml:space="preserve"> </w:t>
      </w:r>
      <w:r>
        <w:t xml:space="preserve">$136.5M ($68.0M Skyhawk + $42.0M Riverside + $26.5M Ironvale)</w:t>
      </w:r>
    </w:p>
    <w:p>
      <w:pPr>
        <w:numPr>
          <w:ilvl w:val="0"/>
          <w:numId w:val="1001"/>
        </w:numPr>
        <w:pStyle w:val="Compact"/>
      </w:pPr>
      <w:r>
        <w:rPr>
          <w:b/>
        </w:rPr>
        <w:t xml:space="preserve">Segment coverage:</w:t>
      </w:r>
      <w:r>
        <w:t xml:space="preserve"> </w:t>
      </w:r>
      <w:r>
        <w:t xml:space="preserve">Renewables (Skyhawk), Water / wastewater (Riverside), Industrial brownfield (Ironvale)</w:t>
      </w:r>
    </w:p>
    <w:p>
      <w:pPr>
        <w:numPr>
          <w:ilvl w:val="0"/>
          <w:numId w:val="1001"/>
        </w:numPr>
        <w:pStyle w:val="Compact"/>
      </w:pPr>
      <w:r>
        <w:rPr>
          <w:b/>
        </w:rPr>
        <w:t xml:space="preserve">Sponsor coverage:</w:t>
      </w:r>
      <w:r>
        <w:t xml:space="preserve"> </w:t>
      </w:r>
      <w:r>
        <w:t xml:space="preserve">VP Renewables (Skyhawk); VP Water &amp; Wastewater (Riverside); VP Industrial (Ironvale)</w:t>
      </w:r>
    </w:p>
    <w:p>
      <w:pPr>
        <w:numPr>
          <w:ilvl w:val="0"/>
          <w:numId w:val="1001"/>
        </w:numPr>
        <w:pStyle w:val="Compact"/>
      </w:pPr>
      <w:r>
        <w:rPr>
          <w:b/>
        </w:rPr>
        <w:t xml:space="preserve">Authoring chair:</w:t>
      </w:r>
      <w:r>
        <w:t xml:space="preserve"> </w:t>
      </w:r>
      <w:r>
        <w:t xml:space="preserve">PMO Director with cross-Sponsor concurrence</w:t>
      </w:r>
    </w:p>
    <w:p>
      <w:pPr>
        <w:pStyle w:val="FirstParagraph"/>
      </w:pPr>
      <w:r>
        <w:t xml:space="preserve">The Portfolio Risk Review is a quarterly artefact. The Q2 review consolidates risk patterns across the three then-active projects and recommends portfolio-level actions to the executive team (VP Sales, CFO, COO, with the three Sponsors).</w:t>
      </w:r>
    </w:p>
    <w:p>
      <w:pPr>
        <w:pStyle w:val="Heading2"/>
      </w:pPr>
      <w:bookmarkStart w:id="22" w:name="executive-summary"/>
      <w:r>
        <w:t xml:space="preserve">2. Executive summary</w:t>
      </w:r>
      <w:bookmarkEnd w:id="22"/>
    </w:p>
    <w:p>
      <w:pPr>
        <w:pStyle w:val="FirstParagraph"/>
      </w:pPr>
      <w:r>
        <w:rPr>
          <w:b/>
        </w:rPr>
        <w:t xml:space="preserve">Three cross-cutting risk patterns are active across two or more of the three projects in execution.</w:t>
      </w:r>
      <w:r>
        <w:t xml:space="preserve"> </w:t>
      </w:r>
      <w:r>
        <w:t xml:space="preserve">Patterns are identified when the same underlying risk class appears on multiple projects in the active portfolio; the threshold for portfolio-level treatment (vs project-level treatment) is two or more projects.</w:t>
      </w:r>
    </w:p>
    <w:p>
      <w:pPr>
        <w:pStyle w:val="BodyText"/>
      </w:pPr>
      <w:r>
        <w:t xml:space="preserve">The three active patterns:</w:t>
      </w:r>
    </w:p>
    <w:p>
      <w:pPr>
        <w:numPr>
          <w:ilvl w:val="0"/>
          <w:numId w:val="1002"/>
        </w:numPr>
      </w:pPr>
      <w:r>
        <w:rPr>
          <w:b/>
        </w:rPr>
        <w:t xml:space="preserve">Sole-source critical equipment dependency.</w:t>
      </w:r>
      <w:r>
        <w:t xml:space="preserve"> </w:t>
      </w:r>
      <w:r>
        <w:t xml:space="preserve">All three projects (Skyhawk BESS, Ironvale Furnace OEM, Riverside aeration blowers) carry sole-source dependencies on critical long-lead equipment. Riverside has already realised this risk as a 14-week schedule slip; Skyhawk’s BESS vendor financial-health flagged in Q1 monitoring (vendor reselection executed Week 18); Ironvale’s furnace OEM held on schedule through Mechanical Completion.</w:t>
      </w:r>
    </w:p>
    <w:p>
      <w:pPr>
        <w:numPr>
          <w:ilvl w:val="0"/>
          <w:numId w:val="1002"/>
        </w:numPr>
      </w:pPr>
      <w:r>
        <w:rPr>
          <w:b/>
        </w:rPr>
        <w:t xml:space="preserve">Regulator-imposed external deadlines drive schedule discipline.</w:t>
      </w:r>
      <w:r>
        <w:t xml:space="preserve"> </w:t>
      </w:r>
      <w:r>
        <w:t xml:space="preserve">All three projects carry regulator-imposed deadlines that exceed Northwood’s contractual control (Skyhawk utility interconnection studies driving energisation date; Ironvale State Air Quality Rule 27 effective at restart; Riverside state-mandated effluent standard taking effect three months after planned SC). The pattern is consistent: regulatory floors define the binding schedule constraint, not contract SC dates.</w:t>
      </w:r>
    </w:p>
    <w:p>
      <w:pPr>
        <w:numPr>
          <w:ilvl w:val="0"/>
          <w:numId w:val="1002"/>
        </w:numPr>
      </w:pPr>
      <w:r>
        <w:rPr>
          <w:b/>
        </w:rPr>
        <w:t xml:space="preserve">Client-driven mid-construction scope additions on fixed-price contracts erode margin predictably.</w:t>
      </w:r>
      <w:r>
        <w:t xml:space="preserve"> </w:t>
      </w:r>
      <w:r>
        <w:t xml:space="preserve">Riverside CO-003 (UV disinfection, $1.45M at 6.7% realised margin vs 8.5% bid); Skyhawk CO-003 expected by Q3 (client SCADA portfolio integration, projected $1.85M). Ironvale’s T&amp;M-with-cap structure has absorbed two latent-defect variations cleanly via client cost-share, demonstrating the alternative commercial structure that prevents this margin erosion pattern.</w:t>
      </w:r>
    </w:p>
    <w:p>
      <w:pPr>
        <w:pStyle w:val="FirstParagraph"/>
      </w:pPr>
      <w:r>
        <w:t xml:space="preserve">A fourth pattern is emerging but not yet at threshold:</w:t>
      </w:r>
    </w:p>
    <w:p>
      <w:pPr>
        <w:numPr>
          <w:ilvl w:val="0"/>
          <w:numId w:val="1003"/>
        </w:numPr>
        <w:pStyle w:val="Compact"/>
      </w:pPr>
      <w:r>
        <w:rPr>
          <w:b/>
        </w:rPr>
        <w:t xml:space="preserve">Brownfield / variable-site geotechnical variance discovery cost.</w:t>
      </w:r>
      <w:r>
        <w:t xml:space="preserve"> </w:t>
      </w:r>
      <w:r>
        <w:t xml:space="preserve">Ironvale realised two latent defects (one historical piping, one foundation settlement); Skyhawk realised one sub-grade variance (Plot B north-west quadrant); Riverside not yet realised (existing site, known conditions). Two of three is at threshold; Riverside’s circumstances differ structurally so the pattern is interpreted as brownfield-specific rather than portfolio-wide.</w:t>
      </w:r>
    </w:p>
    <w:p>
      <w:pPr>
        <w:pStyle w:val="FirstParagraph"/>
      </w:pPr>
      <w:r>
        <w:t xml:space="preserve">§3 catalogues the cross-cutting risk taxonomy. §4 applies the taxonomy across the three projects in the applicability matrix. §5 analyses pattern emergence and threshold reasoning. §6 recommends portfolio-level actions to the executive team.</w:t>
      </w:r>
    </w:p>
    <w:p>
      <w:pPr>
        <w:pStyle w:val="Heading2"/>
      </w:pPr>
      <w:bookmarkStart w:id="23" w:name="cross-cutting-risk-taxonomy"/>
      <w:r>
        <w:t xml:space="preserve">3. Cross-cutting risk taxonomy</w:t>
      </w:r>
      <w:bookmarkEnd w:id="23"/>
    </w:p>
    <w:p>
      <w:pPr>
        <w:pStyle w:val="FirstParagraph"/>
      </w:pPr>
      <w:r>
        <w:t xml:space="preserve">Northwood’s portfolio risk review uses six cross-cutting risk classes. Each is defined by what makes it portfolio-relevant rather than project-specific — typically, the risk’s cause sits in a domain that affects multiple projects (markets, regulators, technologies, geographies, contract structures, resource pools).</w:t>
      </w:r>
    </w:p>
    <w:p>
      <w:pPr>
        <w:numPr>
          <w:ilvl w:val="0"/>
          <w:numId w:val="1004"/>
        </w:numPr>
        <w:pStyle w:val="Compact"/>
      </w:pPr>
      <w:r>
        <w:rPr>
          <w:b/>
        </w:rPr>
        <w:t xml:space="preserve">Vendor / supplier concentration.</w:t>
      </w:r>
      <w:r>
        <w:t xml:space="preserve"> </w:t>
      </w:r>
      <w:r>
        <w:t xml:space="preserve">Risks where a single vendor or supplier’s performance affects the project. Portfolio-relevant when multiple projects depend on overlapping vendor pools (renewables OEMs, water-treatment equipment suppliers, industrial OEMs) or when vendor-class behaviour (sole-source pricing, financial-health volatility, capacity constraints) recurs across projects.</w:t>
      </w:r>
    </w:p>
    <w:p>
      <w:pPr>
        <w:numPr>
          <w:ilvl w:val="0"/>
          <w:numId w:val="1004"/>
        </w:numPr>
        <w:pStyle w:val="Compact"/>
      </w:pPr>
      <w:r>
        <w:rPr>
          <w:b/>
        </w:rPr>
        <w:t xml:space="preserve">Regulatory / external deadline.</w:t>
      </w:r>
      <w:r>
        <w:t xml:space="preserve"> </w:t>
      </w:r>
      <w:r>
        <w:t xml:space="preserve">Risks driven by regulator-imposed schedule constraints — permit expiry dates, standard effective dates, tax-credit deadlines, court-ordered consent decrees. Portfolio-relevant when regulator class (state environmental agency, federal energy regulator, county DOT) appears across multiple projects or when deadline-driven pressure is a consistent pattern.</w:t>
      </w:r>
    </w:p>
    <w:p>
      <w:pPr>
        <w:numPr>
          <w:ilvl w:val="0"/>
          <w:numId w:val="1004"/>
        </w:numPr>
        <w:pStyle w:val="Compact"/>
      </w:pPr>
      <w:r>
        <w:rPr>
          <w:b/>
        </w:rPr>
        <w:t xml:space="preserve">Site-conditions variance.</w:t>
      </w:r>
      <w:r>
        <w:t xml:space="preserve"> </w:t>
      </w:r>
      <w:r>
        <w:t xml:space="preserve">Risks driven by site-specific discoveries during construction — geotechnical surprises, latent defects, environmental contamination, hidden infrastructure. Portfolio-relevant when project class (brownfield, greenfield with variable terrain, urban-site) recurs in the portfolio.</w:t>
      </w:r>
    </w:p>
    <w:p>
      <w:pPr>
        <w:numPr>
          <w:ilvl w:val="0"/>
          <w:numId w:val="1004"/>
        </w:numPr>
        <w:pStyle w:val="Compact"/>
      </w:pPr>
      <w:r>
        <w:rPr>
          <w:b/>
        </w:rPr>
        <w:t xml:space="preserve">Resource / labour scarcity.</w:t>
      </w:r>
      <w:r>
        <w:t xml:space="preserve"> </w:t>
      </w:r>
      <w:r>
        <w:t xml:space="preserve">Risks driven by local labour market, skilled-trade availability, accommodation, transport access. Portfolio-relevant when project class (rural location, regional construction boom area, specialised-trade-dependent scope) recurs.</w:t>
      </w:r>
    </w:p>
    <w:p>
      <w:pPr>
        <w:numPr>
          <w:ilvl w:val="0"/>
          <w:numId w:val="1004"/>
        </w:numPr>
        <w:pStyle w:val="Compact"/>
      </w:pPr>
      <w:r>
        <w:rPr>
          <w:b/>
        </w:rPr>
        <w:t xml:space="preserve">Client-driven scope or sequence changes.</w:t>
      </w:r>
      <w:r>
        <w:t xml:space="preserve"> </w:t>
      </w:r>
      <w:r>
        <w:t xml:space="preserve">Risks driven by client-initiated changes mid-execution. Portfolio-relevant when contract structure (fixed-price vs T&amp;M) interacts with client class (IPP, municipal, industrial owner-operator) in patterns that erode margin or compress schedule.</w:t>
      </w:r>
    </w:p>
    <w:p>
      <w:pPr>
        <w:numPr>
          <w:ilvl w:val="0"/>
          <w:numId w:val="1004"/>
        </w:numPr>
        <w:pStyle w:val="Compact"/>
      </w:pPr>
      <w:r>
        <w:rPr>
          <w:b/>
        </w:rPr>
        <w:t xml:space="preserve">Weather / climate-sensitive construction.</w:t>
      </w:r>
      <w:r>
        <w:t xml:space="preserve"> </w:t>
      </w:r>
      <w:r>
        <w:t xml:space="preserve">Risks driven by seasonal, climatic, or weather-event windows. Portfolio-relevant when project class (outdoor renewables, marine, indoor industrial) and geography (monsoon belts, hurricane zones, cold-climate construction) produce recurring patterns.</w:t>
      </w:r>
    </w:p>
    <w:p>
      <w:pPr>
        <w:pStyle w:val="FirstParagraph"/>
      </w:pPr>
      <w:r>
        <w:t xml:space="preserve">The taxonomy is closed (six classes only) so that classification stays disciplined. A risk that does not fit any class is either project-specific (not portfolio-relevant) or warrants a new class — the latter is a PMO Director decision, not an analyst call.</w:t>
      </w:r>
    </w:p>
    <w:p>
      <w:pPr>
        <w:pStyle w:val="Heading2"/>
      </w:pPr>
      <w:bookmarkStart w:id="24" w:name="Xc4f4628e0a0943b2928a2ec58c1760f2b80de41"/>
      <w:r>
        <w:t xml:space="preserve">4. Project-by-project cross-cutting risk applicability matrix</w:t>
      </w:r>
      <w:bookmarkEnd w:id="24"/>
    </w:p>
    <w:p>
      <w:pPr>
        <w:pStyle w:val="FirstParagraph"/>
      </w:pPr>
      <w:r>
        <w:t xml:space="preserve">The matrix below maps each of the three active projects to the six cross-cutting risk classes. A cell entry indicates the risk class is active on that project; a dash indicates not applicable.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Cross-cutting risk class</w:t>
            </w:r>
          </w:p>
        </w:tc>
        <w:tc>
          <w:tcPr>
            <w:tcBorders>
              <w:bottom w:val="single"/>
            </w:tcBorders>
            <w:vAlign w:val="bottom"/>
          </w:tcPr>
          <w:p>
            <w:pPr>
              <w:pStyle w:val="Compact"/>
              <w:jc w:val="left"/>
            </w:pPr>
            <w:r>
              <w:t xml:space="preserve">Skyhawk Solar</w:t>
            </w:r>
          </w:p>
        </w:tc>
        <w:tc>
          <w:tcPr>
            <w:tcBorders>
              <w:bottom w:val="single"/>
            </w:tcBorders>
            <w:vAlign w:val="bottom"/>
          </w:tcPr>
          <w:p>
            <w:pPr>
              <w:pStyle w:val="Compact"/>
              <w:jc w:val="left"/>
            </w:pPr>
            <w:r>
              <w:t xml:space="preserve">Riverside Water</w:t>
            </w:r>
          </w:p>
        </w:tc>
        <w:tc>
          <w:tcPr>
            <w:tcBorders>
              <w:bottom w:val="single"/>
            </w:tcBorders>
            <w:vAlign w:val="bottom"/>
          </w:tcPr>
          <w:p>
            <w:pPr>
              <w:pStyle w:val="Compact"/>
              <w:jc w:val="left"/>
            </w:pPr>
            <w:r>
              <w:t xml:space="preserve">Ironvale Smelter</w:t>
            </w:r>
          </w:p>
        </w:tc>
      </w:tr>
      <w:tr>
        <w:tc>
          <w:p>
            <w:pPr>
              <w:pStyle w:val="Compact"/>
              <w:jc w:val="left"/>
            </w:pPr>
            <w:r>
              <w:t xml:space="preserve">Vendor / supplier concentration</w:t>
            </w:r>
          </w:p>
        </w:tc>
        <w:tc>
          <w:p>
            <w:pPr>
              <w:pStyle w:val="Compact"/>
              <w:jc w:val="left"/>
            </w:pPr>
            <w:r>
              <w:rPr>
                <w:b/>
              </w:rPr>
              <w:t xml:space="preserve">Active</w:t>
            </w:r>
            <w:r>
              <w:t xml:space="preserve"> </w:t>
            </w:r>
            <w:r>
              <w:t xml:space="preserve">— BESS sole-source (R2); vendor financial-health flagged Q1</w:t>
            </w:r>
          </w:p>
        </w:tc>
        <w:tc>
          <w:p>
            <w:pPr>
              <w:pStyle w:val="Compact"/>
              <w:jc w:val="left"/>
            </w:pPr>
            <w:r>
              <w:rPr>
                <w:b/>
              </w:rPr>
              <w:t xml:space="preserve">Realised</w:t>
            </w:r>
            <w:r>
              <w:t xml:space="preserve"> </w:t>
            </w:r>
            <w:r>
              <w:t xml:space="preserve">— blower single European source caused 14-week delay; contingency consumed</w:t>
            </w:r>
          </w:p>
        </w:tc>
        <w:tc>
          <w:p>
            <w:pPr>
              <w:pStyle w:val="Compact"/>
              <w:jc w:val="left"/>
            </w:pPr>
            <w:r>
              <w:rPr>
                <w:b/>
              </w:rPr>
              <w:t xml:space="preserve">Mitigated</w:t>
            </w:r>
            <w:r>
              <w:t xml:space="preserve"> </w:t>
            </w:r>
            <w:r>
              <w:t xml:space="preserve">— furnace OEM sole-source held on schedule through MC</w:t>
            </w:r>
          </w:p>
        </w:tc>
      </w:tr>
      <w:tr>
        <w:tc>
          <w:p>
            <w:pPr>
              <w:pStyle w:val="Compact"/>
              <w:jc w:val="left"/>
            </w:pPr>
            <w:r>
              <w:t xml:space="preserve">Regulatory / external deadline</w:t>
            </w:r>
          </w:p>
        </w:tc>
        <w:tc>
          <w:p>
            <w:pPr>
              <w:pStyle w:val="Compact"/>
              <w:jc w:val="left"/>
            </w:pPr>
            <w:r>
              <w:rPr>
                <w:b/>
              </w:rPr>
              <w:t xml:space="preserve">Active</w:t>
            </w:r>
            <w:r>
              <w:t xml:space="preserve"> </w:t>
            </w:r>
            <w:r>
              <w:t xml:space="preserve">— utility interconnection studies driving energisation date (R1)</w:t>
            </w:r>
          </w:p>
        </w:tc>
        <w:tc>
          <w:p>
            <w:pPr>
              <w:pStyle w:val="Compact"/>
              <w:jc w:val="left"/>
            </w:pPr>
            <w:r>
              <w:rPr>
                <w:b/>
              </w:rPr>
              <w:t xml:space="preserve">Active</w:t>
            </w:r>
            <w:r>
              <w:t xml:space="preserve"> </w:t>
            </w:r>
            <w:r>
              <w:t xml:space="preserve">— state-mandated effluent standard 3 months post-SC</w:t>
            </w:r>
          </w:p>
        </w:tc>
        <w:tc>
          <w:p>
            <w:pPr>
              <w:pStyle w:val="Compact"/>
              <w:jc w:val="left"/>
            </w:pPr>
            <w:r>
              <w:rPr>
                <w:b/>
              </w:rPr>
              <w:t xml:space="preserve">Active</w:t>
            </w:r>
            <w:r>
              <w:t xml:space="preserve"> </w:t>
            </w:r>
            <w:r>
              <w:t xml:space="preserve">— State Air Quality Rule 27 effective at restart</w:t>
            </w:r>
          </w:p>
        </w:tc>
      </w:tr>
      <w:tr>
        <w:tc>
          <w:p>
            <w:pPr>
              <w:pStyle w:val="Compact"/>
              <w:jc w:val="left"/>
            </w:pPr>
            <w:r>
              <w:t xml:space="preserve">Site-conditions variance</w:t>
            </w:r>
          </w:p>
        </w:tc>
        <w:tc>
          <w:p>
            <w:pPr>
              <w:pStyle w:val="Compact"/>
              <w:jc w:val="left"/>
            </w:pPr>
            <w:r>
              <w:rPr>
                <w:b/>
              </w:rPr>
              <w:t xml:space="preserve">Realised</w:t>
            </w:r>
            <w:r>
              <w:t xml:space="preserve"> </w:t>
            </w:r>
            <w:r>
              <w:t xml:space="preserve">— Plot B sub-grade variance in NW quadrant of solar array</w:t>
            </w:r>
          </w:p>
        </w:tc>
        <w:tc>
          <w:p>
            <w:pPr>
              <w:pStyle w:val="Compact"/>
              <w:jc w:val="left"/>
            </w:pPr>
            <w:r>
              <w:t xml:space="preserve">— Existing site, known conditions</w:t>
            </w:r>
          </w:p>
        </w:tc>
        <w:tc>
          <w:p>
            <w:pPr>
              <w:pStyle w:val="Compact"/>
              <w:jc w:val="left"/>
            </w:pPr>
            <w:r>
              <w:rPr>
                <w:b/>
              </w:rPr>
              <w:t xml:space="preserve">Realised</w:t>
            </w:r>
            <w:r>
              <w:t xml:space="preserve"> </w:t>
            </w:r>
            <w:r>
              <w:t xml:space="preserve">— two latent defects (piping, foundation)</w:t>
            </w:r>
          </w:p>
        </w:tc>
      </w:tr>
      <w:tr>
        <w:tc>
          <w:p>
            <w:pPr>
              <w:pStyle w:val="Compact"/>
              <w:jc w:val="left"/>
            </w:pPr>
            <w:r>
              <w:t xml:space="preserve">Resource / labour scarcity</w:t>
            </w:r>
          </w:p>
        </w:tc>
        <w:tc>
          <w:p>
            <w:pPr>
              <w:pStyle w:val="Compact"/>
              <w:jc w:val="left"/>
            </w:pPr>
            <w:r>
              <w:rPr>
                <w:b/>
              </w:rPr>
              <w:t xml:space="preserve">Active</w:t>
            </w:r>
            <w:r>
              <w:t xml:space="preserve"> </w:t>
            </w:r>
            <w:r>
              <w:t xml:space="preserve">— local labour shortage in regional construction boom (R5)</w:t>
            </w:r>
          </w:p>
        </w:tc>
        <w:tc>
          <w:p>
            <w:pPr>
              <w:pStyle w:val="Compact"/>
              <w:jc w:val="left"/>
            </w:pPr>
            <w:r>
              <w:t xml:space="preserve">— Urban location, ample trades</w:t>
            </w:r>
          </w:p>
        </w:tc>
        <w:tc>
          <w:p>
            <w:pPr>
              <w:pStyle w:val="Compact"/>
              <w:jc w:val="left"/>
            </w:pPr>
            <w:r>
              <w:t xml:space="preserve">— Industrial site near existing labour pool</w:t>
            </w:r>
          </w:p>
        </w:tc>
      </w:tr>
      <w:tr>
        <w:tc>
          <w:p>
            <w:pPr>
              <w:pStyle w:val="Compact"/>
              <w:jc w:val="left"/>
            </w:pPr>
            <w:r>
              <w:t xml:space="preserve">Client-driven scope or sequence changes</w:t>
            </w:r>
          </w:p>
        </w:tc>
        <w:tc>
          <w:p>
            <w:pPr>
              <w:pStyle w:val="Compact"/>
              <w:jc w:val="left"/>
            </w:pPr>
            <w:r>
              <w:rPr>
                <w:b/>
              </w:rPr>
              <w:t xml:space="preserve">Active</w:t>
            </w:r>
            <w:r>
              <w:t xml:space="preserve"> </w:t>
            </w:r>
            <w:r>
              <w:t xml:space="preserve">— CO-003 expected Q3 (SCADA portfolio integration)</w:t>
            </w:r>
          </w:p>
        </w:tc>
        <w:tc>
          <w:p>
            <w:pPr>
              <w:pStyle w:val="Compact"/>
              <w:jc w:val="left"/>
            </w:pPr>
            <w:r>
              <w:rPr>
                <w:b/>
              </w:rPr>
              <w:t xml:space="preserve">Realised</w:t>
            </w:r>
            <w:r>
              <w:t xml:space="preserve"> </w:t>
            </w:r>
            <w:r>
              <w:t xml:space="preserve">— CO-003 UV scope addition at 6.7% margin vs 8.5% bid</w:t>
            </w:r>
          </w:p>
        </w:tc>
        <w:tc>
          <w:p>
            <w:pPr>
              <w:pStyle w:val="Compact"/>
              <w:jc w:val="left"/>
            </w:pPr>
            <w:r>
              <w:t xml:space="preserve">— T&amp;M-with-cap structure absorbs scope variations via client cost-share</w:t>
            </w:r>
          </w:p>
        </w:tc>
      </w:tr>
      <w:tr>
        <w:tc>
          <w:p>
            <w:pPr>
              <w:pStyle w:val="Compact"/>
              <w:jc w:val="left"/>
            </w:pPr>
            <w:r>
              <w:t xml:space="preserve">Weather / climate-sensitive construction</w:t>
            </w:r>
          </w:p>
        </w:tc>
        <w:tc>
          <w:p>
            <w:pPr>
              <w:pStyle w:val="Compact"/>
              <w:jc w:val="left"/>
            </w:pPr>
            <w:r>
              <w:rPr>
                <w:b/>
              </w:rPr>
              <w:t xml:space="preserve">Active</w:t>
            </w:r>
            <w:r>
              <w:t xml:space="preserve"> </w:t>
            </w:r>
            <w:r>
              <w:t xml:space="preserve">— monsoon season Weeks 35-48 productivity exposure (R4)</w:t>
            </w:r>
          </w:p>
        </w:tc>
        <w:tc>
          <w:p>
            <w:pPr>
              <w:pStyle w:val="Compact"/>
              <w:jc w:val="left"/>
            </w:pPr>
            <w:r>
              <w:t xml:space="preserve">— Existing-facility scope, weather-protected</w:t>
            </w:r>
          </w:p>
        </w:tc>
        <w:tc>
          <w:p>
            <w:pPr>
              <w:pStyle w:val="Compact"/>
              <w:jc w:val="left"/>
            </w:pPr>
            <w:r>
              <w:t xml:space="preserve">— Indoor industrial scope</w:t>
            </w:r>
          </w:p>
        </w:tc>
      </w:tr>
    </w:tbl>
    <w:p>
      <w:pPr>
        <w:pStyle w:val="BodyText"/>
      </w:pPr>
      <w:r>
        <w:t xml:space="preserve">Six classes × three projects = 18 cells. Eleven cells are Active or Realised across the portfolio. Skyhawk carries 5 of 6 classes active or realised; Riverside carries 3; Ironvale carries 3.</w:t>
      </w:r>
    </w:p>
    <w:p>
      <w:pPr>
        <w:pStyle w:val="Heading2"/>
      </w:pPr>
      <w:bookmarkStart w:id="25" w:name="pattern-emergence-analysis"/>
      <w:r>
        <w:t xml:space="preserve">5. Pattern emergence analysis</w:t>
      </w:r>
      <w:bookmarkEnd w:id="25"/>
    </w:p>
    <w:p>
      <w:pPr>
        <w:pStyle w:val="FirstParagraph"/>
      </w:pPr>
      <w:r>
        <w:t xml:space="preserve">A pattern is identified when two or more projects carry an Active or Realised entry in the same cross-cutting risk class. The threshold matters because portfolio-level action (firm standard update, contract template change, governance escalation) is justified by pattern recurrence rather than by single-project events.</w:t>
      </w:r>
    </w:p>
    <w:p>
      <w:pPr>
        <w:pStyle w:val="BodyText"/>
      </w:pPr>
      <w:r>
        <w:t xml:space="preserve">The three confirmed patterns from §2:</w:t>
      </w:r>
    </w:p>
    <w:p>
      <w:pPr>
        <w:pStyle w:val="BodyText"/>
      </w:pPr>
      <w:r>
        <w:rPr>
          <w:b/>
        </w:rPr>
        <w:t xml:space="preserve">Pattern 1: Sole-source critical equipment dependency.</w:t>
      </w:r>
      <w:r>
        <w:t xml:space="preserve"> </w:t>
      </w:r>
      <w:r>
        <w:t xml:space="preserve">Three of three projects. Active across all three Sponsor verticals. The Riverside realisation (14-week schedule slip) is the strongest empirical evidence; Skyhawk’s BESS vendor reselection is the prevented realisation; Ironvale’s outcome will be known at MC closeout. The pattern is robust and warrants firm-level action regardless of how the remaining projects resolve.</w:t>
      </w:r>
    </w:p>
    <w:p>
      <w:pPr>
        <w:pStyle w:val="BodyText"/>
      </w:pPr>
      <w:r>
        <w:rPr>
          <w:b/>
        </w:rPr>
        <w:t xml:space="preserve">Pattern 2: Regulator-imposed external deadlines.</w:t>
      </w:r>
      <w:r>
        <w:t xml:space="preserve"> </w:t>
      </w:r>
      <w:r>
        <w:t xml:space="preserve">Three of three projects. The regulatory class differs (utility, state environmental, state air quality) but the underlying pattern — that the binding schedule constraint sits with an external regulator rather than the contract — is consistent. This pattern is structural to Northwood’s segment coverage; the action recommendation is about how to</w:t>
      </w:r>
      <w:r>
        <w:t xml:space="preserve"> </w:t>
      </w:r>
      <w:r>
        <w:rPr>
          <w:i/>
        </w:rPr>
        <w:t xml:space="preserve">anticipate</w:t>
      </w:r>
      <w:r>
        <w:t xml:space="preserve"> </w:t>
      </w:r>
      <w:r>
        <w:t xml:space="preserve">the binding constraint in proposal stage, not about preventing the deadline existence.</w:t>
      </w:r>
    </w:p>
    <w:p>
      <w:pPr>
        <w:pStyle w:val="BodyText"/>
      </w:pPr>
      <w:r>
        <w:rPr>
          <w:b/>
        </w:rPr>
        <w:t xml:space="preserve">Pattern 3: Client-driven mid-construction scope additions on fixed-price contracts.</w:t>
      </w:r>
      <w:r>
        <w:t xml:space="preserve"> </w:t>
      </w:r>
      <w:r>
        <w:t xml:space="preserve">Two of three fixed-price projects (Skyhawk projected, Riverside realised). Ironvale’s T&amp;M-with-cap structure prevents the pattern from realising there. The pattern is therefore conditioned on contract structure: fixed-price + strategic-value-client + mid-construction visibility → predictable scope-addition pressure. T&amp;M-with-cap is the structural prevention.</w:t>
      </w:r>
    </w:p>
    <w:p>
      <w:pPr>
        <w:pStyle w:val="BodyText"/>
      </w:pPr>
      <w:r>
        <w:t xml:space="preserve">The fourth pattern (brownfield geotechnical variance) is at threshold (two of three) but is interpreted as brownfield-specific. Riverside is the structural exception (existing site, known conditions); the pattern is real for industrial brownfield (Ironvale) and variable-terrain greenfield (Skyhawk) but is not portfolio-universal.</w:t>
      </w:r>
    </w:p>
    <w:p>
      <w:pPr>
        <w:pStyle w:val="BodyText"/>
      </w:pPr>
      <w:r>
        <w:rPr>
          <w:b/>
        </w:rPr>
        <w:t xml:space="preserve">Patterns not currently at threshold:</w:t>
      </w:r>
    </w:p>
    <w:p>
      <w:pPr>
        <w:numPr>
          <w:ilvl w:val="0"/>
          <w:numId w:val="1005"/>
        </w:numPr>
        <w:pStyle w:val="Compact"/>
      </w:pPr>
      <w:r>
        <w:rPr>
          <w:i/>
        </w:rPr>
        <w:t xml:space="preserve">Resource / labour scarcity</w:t>
      </w:r>
      <w:r>
        <w:t xml:space="preserve"> </w:t>
      </w:r>
      <w:r>
        <w:t xml:space="preserve">— single-project (Skyhawk only). Pattern would emerge if Northwood takes additional rural-location work in the next portfolio period.</w:t>
      </w:r>
    </w:p>
    <w:p>
      <w:pPr>
        <w:numPr>
          <w:ilvl w:val="0"/>
          <w:numId w:val="1005"/>
        </w:numPr>
        <w:pStyle w:val="Compact"/>
      </w:pPr>
      <w:r>
        <w:rPr>
          <w:i/>
        </w:rPr>
        <w:t xml:space="preserve">Weather / climate-sensitive construction</w:t>
      </w:r>
      <w:r>
        <w:t xml:space="preserve"> </w:t>
      </w:r>
      <w:r>
        <w:t xml:space="preserve">— single-project (Skyhawk only). Pattern would emerge if outdoor projects in monsoon or hurricane zones increase.</w:t>
      </w:r>
    </w:p>
    <w:p>
      <w:pPr>
        <w:pStyle w:val="Heading2"/>
      </w:pPr>
      <w:bookmarkStart w:id="26" w:name="recommended-portfolio-actions"/>
      <w:r>
        <w:t xml:space="preserve">6. Recommended portfolio actions</w:t>
      </w:r>
      <w:bookmarkEnd w:id="26"/>
    </w:p>
    <w:p>
      <w:pPr>
        <w:pStyle w:val="FirstParagraph"/>
      </w:pPr>
      <w:r>
        <w:t xml:space="preserve">Five portfolio-level actions are recommended to the executive team. Each is classified by lever (the type of intervention) and addressee (which function owns implementation). Timing of decision and target adoption status are stated.</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Recommended action</w:t>
            </w:r>
          </w:p>
        </w:tc>
        <w:tc>
          <w:tcPr>
            <w:tcBorders>
              <w:bottom w:val="single"/>
            </w:tcBorders>
            <w:vAlign w:val="bottom"/>
          </w:tcPr>
          <w:p>
            <w:pPr>
              <w:pStyle w:val="Compact"/>
              <w:jc w:val="left"/>
            </w:pPr>
            <w:r>
              <w:t xml:space="preserve">Lever</w:t>
            </w:r>
          </w:p>
        </w:tc>
        <w:tc>
          <w:tcPr>
            <w:tcBorders>
              <w:bottom w:val="single"/>
            </w:tcBorders>
            <w:vAlign w:val="bottom"/>
          </w:tcPr>
          <w:p>
            <w:pPr>
              <w:pStyle w:val="Compact"/>
              <w:jc w:val="left"/>
            </w:pPr>
            <w:r>
              <w:t xml:space="preserve">Addressee</w:t>
            </w:r>
          </w:p>
        </w:tc>
        <w:tc>
          <w:tcPr>
            <w:tcBorders>
              <w:bottom w:val="single"/>
            </w:tcBorders>
            <w:vAlign w:val="bottom"/>
          </w:tcPr>
          <w:p>
            <w:pPr>
              <w:pStyle w:val="Compact"/>
              <w:jc w:val="left"/>
            </w:pPr>
            <w:r>
              <w:t xml:space="preserve">Target decision</w:t>
            </w:r>
          </w:p>
        </w:tc>
        <w:tc>
          <w:tcPr>
            <w:tcBorders>
              <w:bottom w:val="single"/>
            </w:tcBorders>
            <w:vAlign w:val="bottom"/>
          </w:tcPr>
          <w:p>
            <w:pPr>
              <w:pStyle w:val="Compact"/>
              <w:jc w:val="left"/>
            </w:pPr>
            <w:r>
              <w:t xml:space="preserve">Target adoption</w:t>
            </w:r>
          </w:p>
        </w:tc>
      </w:tr>
      <w:tr>
        <w:tc>
          <w:p>
            <w:pPr>
              <w:pStyle w:val="Compact"/>
              <w:jc w:val="left"/>
            </w:pPr>
            <w:r>
              <w:rPr>
                <w:b/>
              </w:rPr>
              <w:t xml:space="preserve">Vendor financial-health monitoring on sole-source long-lead equipment moves from quarterly to monthly during PO-release window</w:t>
            </w:r>
            <w:r>
              <w:t xml:space="preserve"> </w:t>
            </w:r>
            <w:r>
              <w:t xml:space="preserve">— across all renewables, water, and industrial procurement above $5M sole-source</w:t>
            </w:r>
          </w:p>
        </w:tc>
        <w:tc>
          <w:p>
            <w:pPr>
              <w:pStyle w:val="Compact"/>
              <w:jc w:val="left"/>
            </w:pPr>
            <w:r>
              <w:t xml:space="preserve">Operations Standards</w:t>
            </w:r>
          </w:p>
        </w:tc>
        <w:tc>
          <w:p>
            <w:pPr>
              <w:pStyle w:val="Compact"/>
              <w:jc w:val="left"/>
            </w:pPr>
            <w:r>
              <w:t xml:space="preserve">VP Sales with three Sponsors</w:t>
            </w:r>
          </w:p>
        </w:tc>
        <w:tc>
          <w:p>
            <w:pPr>
              <w:pStyle w:val="Compact"/>
              <w:jc w:val="left"/>
            </w:pPr>
            <w:r>
              <w:t xml:space="preserve">End-Q2 portfolio review</w:t>
            </w:r>
          </w:p>
        </w:tc>
        <w:tc>
          <w:p>
            <w:pPr>
              <w:pStyle w:val="Compact"/>
              <w:jc w:val="left"/>
            </w:pPr>
            <w:r>
              <w:t xml:space="preserve">Q3</w:t>
            </w:r>
            <w:r>
              <w:t xml:space="preserve"> </w:t>
            </w:r>
            <w:r>
              <w:rPr>
                <w:i/>
              </w:rPr>
              <w:t xml:space="preserve">(at draft stage [NEEDS PM REVIEW: adoption pathway through Operations Standards committee])</w:t>
            </w:r>
          </w:p>
        </w:tc>
      </w:tr>
      <w:tr>
        <w:tc>
          <w:p>
            <w:pPr>
              <w:pStyle w:val="Compact"/>
              <w:jc w:val="left"/>
            </w:pPr>
            <w:r>
              <w:rPr>
                <w:b/>
              </w:rPr>
              <w:t xml:space="preserve">Sole-source critical equipment risk classification added to standard project risk register taxonomy</w:t>
            </w:r>
            <w:r>
              <w:t xml:space="preserve"> </w:t>
            </w:r>
            <w:r>
              <w:t xml:space="preserve">— every project with sole-source long-lead identifies this as a charter §8 risk class</w:t>
            </w:r>
          </w:p>
        </w:tc>
        <w:tc>
          <w:p>
            <w:pPr>
              <w:pStyle w:val="Compact"/>
              <w:jc w:val="left"/>
            </w:pPr>
            <w:r>
              <w:t xml:space="preserve">Project Methodology Standards</w:t>
            </w:r>
          </w:p>
        </w:tc>
        <w:tc>
          <w:p>
            <w:pPr>
              <w:pStyle w:val="Compact"/>
              <w:jc w:val="left"/>
            </w:pPr>
            <w:r>
              <w:t xml:space="preserve">PMO Director</w:t>
            </w:r>
          </w:p>
        </w:tc>
        <w:tc>
          <w:p>
            <w:pPr>
              <w:pStyle w:val="Compact"/>
              <w:jc w:val="left"/>
            </w:pPr>
            <w:r>
              <w:t xml:space="preserve">End-Q2 portfolio review</w:t>
            </w:r>
          </w:p>
        </w:tc>
        <w:tc>
          <w:p>
            <w:pPr>
              <w:pStyle w:val="Compact"/>
              <w:jc w:val="left"/>
            </w:pPr>
            <w:r>
              <w:t xml:space="preserve">Q3</w:t>
            </w:r>
          </w:p>
        </w:tc>
      </w:tr>
      <w:tr>
        <w:tc>
          <w:p>
            <w:pPr>
              <w:pStyle w:val="Compact"/>
              <w:jc w:val="left"/>
            </w:pPr>
            <w:r>
              <w:rPr>
                <w:b/>
              </w:rPr>
              <w:t xml:space="preserve">Proposal-stage diligence on the binding external deadline</w:t>
            </w:r>
            <w:r>
              <w:t xml:space="preserve"> </w:t>
            </w:r>
            <w:r>
              <w:t xml:space="preserve">— for projects with regulator-imposed schedule constraints, identify the binding constraint at proposal stage and price the schedule contingency against it (not against contractual SC alone)</w:t>
            </w:r>
          </w:p>
        </w:tc>
        <w:tc>
          <w:p>
            <w:pPr>
              <w:pStyle w:val="Compact"/>
              <w:jc w:val="left"/>
            </w:pPr>
            <w:r>
              <w:t xml:space="preserve">Commercial / Proposal Standards</w:t>
            </w:r>
          </w:p>
        </w:tc>
        <w:tc>
          <w:p>
            <w:pPr>
              <w:pStyle w:val="Compact"/>
              <w:jc w:val="left"/>
            </w:pPr>
            <w:r>
              <w:t xml:space="preserve">VP Sales with CFO concurrence</w:t>
            </w:r>
          </w:p>
        </w:tc>
        <w:tc>
          <w:p>
            <w:pPr>
              <w:pStyle w:val="Compact"/>
              <w:jc w:val="left"/>
            </w:pPr>
            <w:r>
              <w:t xml:space="preserve">Q3 (proposal cycle)</w:t>
            </w:r>
          </w:p>
        </w:tc>
        <w:tc>
          <w:p>
            <w:pPr>
              <w:pStyle w:val="Compact"/>
              <w:jc w:val="left"/>
            </w:pPr>
            <w:r>
              <w:t xml:space="preserve">Q4</w:t>
            </w:r>
          </w:p>
        </w:tc>
      </w:tr>
      <w:tr>
        <w:tc>
          <w:p>
            <w:pPr>
              <w:pStyle w:val="Compact"/>
              <w:jc w:val="left"/>
            </w:pPr>
            <w:r>
              <w:rPr>
                <w:b/>
              </w:rPr>
              <w:t xml:space="preserve">T&amp;M-with-cap commercial-option offered as a standard alternative on engineering-discovery-sensitive scope</w:t>
            </w:r>
            <w:r>
              <w:t xml:space="preserve"> </w:t>
            </w:r>
            <w:r>
              <w:t xml:space="preserve">— particularly relevant on industrial brownfield and renewables with novel-technology integration; brings Ironvale’s structural success to bear on segments where Skyhawk and Riverside patterns repeat</w:t>
            </w:r>
          </w:p>
        </w:tc>
        <w:tc>
          <w:p>
            <w:pPr>
              <w:pStyle w:val="Compact"/>
              <w:jc w:val="left"/>
            </w:pPr>
            <w:r>
              <w:t xml:space="preserve">Commercial / Proposal Standards</w:t>
            </w:r>
          </w:p>
        </w:tc>
        <w:tc>
          <w:p>
            <w:pPr>
              <w:pStyle w:val="Compact"/>
              <w:jc w:val="left"/>
            </w:pPr>
            <w:r>
              <w:t xml:space="preserve">VP Sales with CFO concurrence</w:t>
            </w:r>
          </w:p>
        </w:tc>
        <w:tc>
          <w:p>
            <w:pPr>
              <w:pStyle w:val="Compact"/>
              <w:jc w:val="left"/>
            </w:pPr>
            <w:r>
              <w:t xml:space="preserve">Q3</w:t>
            </w:r>
          </w:p>
        </w:tc>
        <w:tc>
          <w:p>
            <w:pPr>
              <w:pStyle w:val="Compact"/>
              <w:jc w:val="left"/>
            </w:pPr>
            <w:r>
              <w:t xml:space="preserve">Q4</w:t>
            </w:r>
            <w:r>
              <w:t xml:space="preserve"> </w:t>
            </w:r>
            <w:r>
              <w:rPr>
                <w:i/>
              </w:rPr>
              <w:t xml:space="preserve">(at draft stage [NEEDS PM REVIEW: client-acceptance rate of T&amp;M-with-cap on renewables-greenfield to be tracked through first three proposals])</w:t>
            </w:r>
          </w:p>
        </w:tc>
      </w:tr>
      <w:tr>
        <w:tc>
          <w:p>
            <w:pPr>
              <w:pStyle w:val="Compact"/>
              <w:jc w:val="left"/>
            </w:pPr>
            <w:r>
              <w:rPr>
                <w:b/>
              </w:rPr>
              <w:t xml:space="preserve">Client-driven mid-construction scope discipline</w:t>
            </w:r>
            <w:r>
              <w:t xml:space="preserve"> </w:t>
            </w:r>
            <w:r>
              <w:t xml:space="preserve">— for fixed-price contracts with strategic-value clients, mid-construction scope additions must be analysed against the four-frame commercial dynamics (vendor leverage, client leverage, client position, Northwood acceptance) per the change-order analysis discipline; strategic-value rationale must be made explicit not implicit</w:t>
            </w:r>
          </w:p>
        </w:tc>
        <w:tc>
          <w:p>
            <w:pPr>
              <w:pStyle w:val="Compact"/>
              <w:jc w:val="left"/>
            </w:pPr>
            <w:r>
              <w:t xml:space="preserve">Commercial / Contract Standards</w:t>
            </w:r>
          </w:p>
        </w:tc>
        <w:tc>
          <w:p>
            <w:pPr>
              <w:pStyle w:val="Compact"/>
              <w:jc w:val="left"/>
            </w:pPr>
            <w:r>
              <w:t xml:space="preserve">Legal with VP Sales</w:t>
            </w:r>
          </w:p>
        </w:tc>
        <w:tc>
          <w:p>
            <w:pPr>
              <w:pStyle w:val="Compact"/>
              <w:jc w:val="left"/>
            </w:pPr>
            <w:r>
              <w:t xml:space="preserve">Q3</w:t>
            </w:r>
          </w:p>
        </w:tc>
        <w:tc>
          <w:p>
            <w:pPr>
              <w:pStyle w:val="Compact"/>
              <w:jc w:val="left"/>
            </w:pPr>
            <w:r>
              <w:t xml:space="preserve">Q3-Q4 (over time as fixed-price proposals re-template)</w:t>
            </w:r>
          </w:p>
        </w:tc>
      </w:tr>
    </w:tbl>
    <w:p>
      <w:pPr>
        <w:pStyle w:val="BodyText"/>
      </w:pPr>
      <w:r>
        <w:rPr>
          <w:b/>
        </w:rPr>
        <w:t xml:space="preserve">Decision routing.</w:t>
      </w:r>
      <w:r>
        <w:t xml:space="preserve"> </w:t>
      </w:r>
      <w:r>
        <w:t xml:space="preserve">Recommendations 1, 2 are Operations Standards items and route through the Operations Standards committee chaired by the PMO Director. Recommendations 3, 4, 5 are Commercial / Contract Standards items and route through the Commercial Standards forum chaired by VP Sales with CFO concurrence required on 3 and 4. The Q2 portfolio review serves as the trigger meeting; formal decisions land in the Q3 portfolio review cycle.</w:t>
      </w:r>
    </w:p>
    <w:p>
      <w:pPr>
        <w:pStyle w:val="BodyText"/>
      </w:pPr>
      <w:r>
        <w:rPr>
          <w:b/>
        </w:rPr>
        <w:t xml:space="preserve">Resource and budget impact.</w:t>
      </w:r>
      <w:r>
        <w:t xml:space="preserve"> </w:t>
      </w:r>
      <w:r>
        <w:t xml:space="preserve">Implementation of the five recommendations is largely policy and process update rather than capital spend. Vendor monitoring cadence change (recommendation 1) requires moderate Procurement function workload increase (estimated 0.25 FTE across the firm); other recommendations are template-update and discipline-adoption items at marginal cost.</w:t>
      </w:r>
    </w:p>
    <w:p>
      <w:pPr>
        <w:pStyle w:val="Heading2"/>
      </w:pPr>
      <w:bookmarkStart w:id="27" w:name="conventions-used"/>
      <w:r>
        <w:t xml:space="preserve">7. Conventions used</w:t>
      </w:r>
      <w:bookmarkEnd w:id="27"/>
    </w:p>
    <w:p>
      <w:pPr>
        <w:pStyle w:val="FirstParagraph"/>
      </w:pPr>
      <w:r>
        <w:t xml:space="preserve">Five patterns this document follows, for traceability against the Northwood worked-example convention:</w:t>
      </w:r>
    </w:p>
    <w:p>
      <w:pPr>
        <w:numPr>
          <w:ilvl w:val="0"/>
          <w:numId w:val="1006"/>
        </w:numPr>
      </w:pPr>
      <w:r>
        <w:rPr>
          <w:b/>
        </w:rPr>
        <w:t xml:space="preserve">Cross-cutting risk taxonomy is closed (six classes).</w:t>
      </w:r>
      <w:r>
        <w:t xml:space="preserve"> </w:t>
      </w:r>
      <w:r>
        <w:t xml:space="preserve">Classification discipline requires a closed taxonomy. A risk that does not fit any class is either project-specific (not portfolio-relevant) or warrants a new class — the latter is a PMO Director decision, not an analyst call. The taxonomy can evolve, but the evolution is governed.</w:t>
      </w:r>
    </w:p>
    <w:p>
      <w:pPr>
        <w:numPr>
          <w:ilvl w:val="0"/>
          <w:numId w:val="1006"/>
        </w:numPr>
      </w:pPr>
      <w:r>
        <w:rPr>
          <w:b/>
        </w:rPr>
        <w:t xml:space="preserve">Pattern emergence threshold is two or more projects.</w:t>
      </w:r>
      <w:r>
        <w:t xml:space="preserve"> </w:t>
      </w:r>
      <w:r>
        <w:t xml:space="preserve">Single-project risks remain in the project’s own risk register and are managed by the project Risk Analyst, not surfaced at portfolio level. Two-or-more is the threshold for portfolio-level treatment. The threshold is not arbitrary — at two-projects, the analysis can compare and contrast across multiple instances; at one project, there is nothing to compare.</w:t>
      </w:r>
    </w:p>
    <w:p>
      <w:pPr>
        <w:numPr>
          <w:ilvl w:val="0"/>
          <w:numId w:val="1006"/>
        </w:numPr>
      </w:pPr>
      <w:r>
        <w:rPr>
          <w:b/>
        </w:rPr>
        <w:t xml:space="preserve">Applicability matrix is the primary analytical artefact.</w:t>
      </w:r>
      <w:r>
        <w:t xml:space="preserve"> </w:t>
      </w:r>
      <w:r>
        <w:t xml:space="preserve">Six classes × N projects = N×6 cells; each cell carries an explicit Active / Realised / Mitigated / Not applicable status. The matrix is what the Sponsor and CFO can scan at portfolio level to see where attention is needed; the per-cell narrative is in §5 and the recommendations are in §6.</w:t>
      </w:r>
    </w:p>
    <w:p>
      <w:pPr>
        <w:numPr>
          <w:ilvl w:val="0"/>
          <w:numId w:val="1006"/>
        </w:numPr>
      </w:pPr>
      <w:r>
        <w:rPr>
          <w:b/>
        </w:rPr>
        <w:t xml:space="preserve">Recommendations classified by lever and addressee.</w:t>
      </w:r>
      <w:r>
        <w:t xml:space="preserve"> </w:t>
      </w:r>
      <w:r>
        <w:t xml:space="preserve">Operations Standards, Project Methodology Standards, Commercial / Proposal Standards, Engineering Standards, Commercial / Contract Standards — the same five-pathway classification used in the project-level Lessons-Learned Synthesis. The continuity across documents ensures portfolio-level recommendations land in the same governance pipeline as project-level firm-level lessons.</w:t>
      </w:r>
    </w:p>
    <w:p>
      <w:pPr>
        <w:numPr>
          <w:ilvl w:val="0"/>
          <w:numId w:val="1006"/>
        </w:numPr>
      </w:pPr>
      <w:r>
        <w:rPr>
          <w:b/>
        </w:rPr>
        <w:t xml:space="preserve">Audience-aware disclosure for portfolio review.</w:t>
      </w:r>
      <w:r>
        <w:t xml:space="preserve"> </w:t>
      </w:r>
      <w:r>
        <w:t xml:space="preserve">The portfolio review is Sponsor-facing and executive-facing (CFO, COO). It is not client-facing — no client sees this analysis because the analysis spans multiple clients’ projects. Project-specific detail in the matrix is redacted in any external-facing summary. The internal full-detail version informs Northwood standard-practice updates; the external summary (when produced) carries only the firm-level lessons abstracted from the patterns.</w:t>
      </w:r>
    </w:p>
    <w:p>
      <w:pPr>
        <w:pStyle w:val="Heading2"/>
      </w:pPr>
      <w:bookmarkStart w:id="28" w:name="notes-for-downstream-consumers"/>
      <w:r>
        <w:t xml:space="preserve">8. Notes for downstream consumers</w:t>
      </w:r>
      <w:bookmarkEnd w:id="28"/>
    </w:p>
    <w:p>
      <w:pPr>
        <w:numPr>
          <w:ilvl w:val="0"/>
          <w:numId w:val="1007"/>
        </w:numPr>
        <w:pStyle w:val="Compact"/>
      </w:pPr>
      <w:r>
        <w:rPr>
          <w:b/>
        </w:rPr>
        <w:t xml:space="preserve">Project-level Risk Analysts.</w:t>
      </w:r>
      <w:r>
        <w:t xml:space="preserve"> </w:t>
      </w:r>
      <w:r>
        <w:t xml:space="preserve">When a Portfolio Risk Reviewer pattern emerges that affects a project the analyst owns, the project-level risk register receives a cross-reference back to this portfolio review with the pattern identifier (P1 sole-source, P2 regulatory deadline, P3 client-driven scope, etc.). The project’s risk mitigation strategy aligns with the portfolio-level recommendation where applicable; deviations are documented with rationale.</w:t>
      </w:r>
    </w:p>
    <w:p>
      <w:pPr>
        <w:numPr>
          <w:ilvl w:val="0"/>
          <w:numId w:val="1007"/>
        </w:numPr>
        <w:pStyle w:val="Compact"/>
      </w:pPr>
      <w:r>
        <w:rPr>
          <w:b/>
        </w:rPr>
        <w:t xml:space="preserve">Project-level Change Order Reviewers.</w:t>
      </w:r>
      <w:r>
        <w:t xml:space="preserve"> </w:t>
      </w:r>
      <w:r>
        <w:t xml:space="preserve">Pattern P3 (client-driven mid-construction scope additions on fixed-price contracts) directly informs the four-frame commercial dynamics analysis on any fixed-price project. The Riverside CO-003 worked example for the project-level Change Order Reviewer is itself an instance of P3 realising; the agent build’s cross-reference between Riverside’s change-order analysis and this portfolio review is intentional and bidirectional.</w:t>
      </w:r>
    </w:p>
    <w:p>
      <w:pPr>
        <w:numPr>
          <w:ilvl w:val="0"/>
          <w:numId w:val="1007"/>
        </w:numPr>
        <w:pStyle w:val="Compact"/>
      </w:pPr>
      <w:r>
        <w:rPr>
          <w:b/>
        </w:rPr>
        <w:t xml:space="preserve">Project-level Lessons-Learned Synthesisers.</w:t>
      </w:r>
      <w:r>
        <w:t xml:space="preserve"> </w:t>
      </w:r>
      <w:r>
        <w:t xml:space="preserve">Firm-level lessons from individual projects feed into the portfolio review’s pattern emergence analysis. Conversely, portfolio review patterns inform individual projects’ lessons-learned synthesis when the project’s outcome confirms or refutes the pattern. The two flows operate bidirectionally; the cross-references are managed by the PMO Director.</w:t>
      </w:r>
    </w:p>
    <w:p>
      <w:pPr>
        <w:numPr>
          <w:ilvl w:val="0"/>
          <w:numId w:val="1007"/>
        </w:numPr>
        <w:pStyle w:val="Compact"/>
      </w:pPr>
      <w:r>
        <w:rPr>
          <w:b/>
        </w:rPr>
        <w:t xml:space="preserve">Sponsor and Executive team.</w:t>
      </w:r>
      <w:r>
        <w:t xml:space="preserve"> </w:t>
      </w:r>
      <w:r>
        <w:t xml:space="preserve">This document is the primary portfolio-risk artefact for Sponsor and Executive attention. The Q3 portfolio review will track adoption status of the five recommendations in §6 and refresh the §4 matrix as projects close (or new projects start).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2026-05-23T23:09:29Z</dcterms:created>
  <dcterms:modified xsi:type="dcterms:W3CDTF">2026-05-23T23:09:29Z</dcterms:modified>
</cp:coreProperties>
</file>

<file path=docProps/custom.xml><?xml version="1.0" encoding="utf-8"?>
<Properties xmlns="http://schemas.openxmlformats.org/officeDocument/2006/custom-properties" xmlns:vt="http://schemas.openxmlformats.org/officeDocument/2006/docPropsVTypes"/>
</file>