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6614825fdecf1512daf8ed43d46a199e248664"/>
      <w:r>
        <w:t xml:space="preserve">Riverside Water Reclamation — Phase 2 Expansion</w:t>
      </w:r>
      <w:bookmarkEnd w:id="20"/>
    </w:p>
    <w:p>
      <w:pPr>
        <w:pStyle w:val="FirstParagraph"/>
      </w:pPr>
      <w:r>
        <w:rPr>
          <w:b/>
        </w:rPr>
        <w:t xml:space="preserve">Project ID:</w:t>
      </w:r>
      <w:r>
        <w:t xml:space="preserve"> </w:t>
      </w:r>
      <w:r>
        <w:t xml:space="preserve">NW-WW-2103</w:t>
      </w:r>
      <w:r>
        <w:t xml:space="preserve"> </w:t>
      </w:r>
      <w:r>
        <w:rPr>
          <w:b/>
        </w:rPr>
        <w:t xml:space="preserve">Status at archive:</w:t>
      </w:r>
      <w:r>
        <w:t xml:space="preserve"> </w:t>
      </w:r>
      <w:r>
        <w:t xml:space="preserve">Closed, handed over Q4 last fiscal year, 7 months into warranty.</w:t>
      </w:r>
      <w:r>
        <w:t xml:space="preserve"> </w:t>
      </w:r>
      <w:r>
        <w:rPr>
          <w:b/>
        </w:rPr>
        <w:t xml:space="preserve">Contract value:</w:t>
      </w:r>
      <w:r>
        <w:t xml:space="preserve"> </w:t>
      </w:r>
      <w:r>
        <w:t xml:space="preserve">$42 million, fixed-price.</w:t>
      </w:r>
      <w:r>
        <w:t xml:space="preserve"> </w:t>
      </w:r>
      <w:r>
        <w:rPr>
          <w:b/>
        </w:rPr>
        <w:t xml:space="preserve">Duration:</w:t>
      </w:r>
      <w:r>
        <w:t xml:space="preserve"> </w:t>
      </w:r>
      <w:r>
        <w:t xml:space="preserve">22 months from Award to Substantial Completion. Substantial Completion delivered 6 weeks late.</w:t>
      </w:r>
      <w:r>
        <w:t xml:space="preserve"> </w:t>
      </w:r>
      <w:r>
        <w:rPr>
          <w:b/>
        </w:rPr>
        <w:t xml:space="preserve">Final margin:</w:t>
      </w:r>
      <w:r>
        <w:t xml:space="preserve"> </w:t>
      </w:r>
      <w:r>
        <w:t xml:space="preserve">4.1% (against bid margin of 8.5%).</w:t>
      </w:r>
    </w:p>
    <w:p>
      <w:pPr>
        <w:pStyle w:val="Heading2"/>
      </w:pPr>
      <w:bookmarkStart w:id="21" w:name="what-the-project-did"/>
      <w:r>
        <w:t xml:space="preserve">What the project did</w:t>
      </w:r>
      <w:bookmarkEnd w:id="21"/>
    </w:p>
    <w:p>
      <w:pPr>
        <w:pStyle w:val="FirstParagraph"/>
      </w:pPr>
      <w:r>
        <w:t xml:space="preserve">Capacity expansion of the Riverside Municipal Water Reclamation Facility — a wastewater treatment plant serving a city of ~180,000 — from 18 MGD to 30 MGD treatment capacity, with associated headworks, biological treatment trains, secondary clarifiers, and tertiary filtration upgrades.</w:t>
      </w:r>
    </w:p>
    <w:p>
      <w:pPr>
        <w:pStyle w:val="Heading2"/>
      </w:pPr>
      <w:bookmarkStart w:id="22" w:name="why-margin-compressed"/>
      <w:r>
        <w:t xml:space="preserve">Why margin compressed</w:t>
      </w:r>
      <w:bookmarkEnd w:id="22"/>
    </w:p>
    <w:p>
      <w:pPr>
        <w:pStyle w:val="FirstParagraph"/>
      </w:pPr>
      <w:r>
        <w:t xml:space="preserve">Two main causes. A 14-week delay in delivery of two large blowers from a single-sourced European vendor, which absorbed almost all the project’s contingency. And a late client-driven change order (Q2 of construction) adding UV disinfection capacity that was negotiated at thin margin. Liquidated damages were assessed for the late completion but were partially offset by a successful claim for client-driven scope additions.</w:t>
      </w:r>
    </w:p>
    <w:p>
      <w:pPr>
        <w:pStyle w:val="Heading2"/>
      </w:pPr>
      <w:bookmarkStart w:id="23" w:name="outcomes"/>
      <w:r>
        <w:t xml:space="preserve">Outcomes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Performance tests passed first attempt.</w:t>
      </w:r>
    </w:p>
    <w:p>
      <w:pPr>
        <w:numPr>
          <w:ilvl w:val="0"/>
          <w:numId w:val="1001"/>
        </w:numPr>
        <w:pStyle w:val="Compact"/>
      </w:pPr>
      <w:r>
        <w:t xml:space="preserve">Client relationship intact; Northwood was shortlisted for the Phase 3 work.</w:t>
      </w:r>
    </w:p>
    <w:p>
      <w:pPr>
        <w:numPr>
          <w:ilvl w:val="0"/>
          <w:numId w:val="1001"/>
        </w:numPr>
        <w:pStyle w:val="Compact"/>
      </w:pPr>
      <w:r>
        <w:t xml:space="preserve">Lessons-learned write-up flagged single-sourced critical equipment as a category-level risk for the firm.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2026-05-18T20:06:32Z</dcterms:created>
  <dcterms:modified xsi:type="dcterms:W3CDTF">2026-05-18T20:06:32Z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