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18201fbcd3b828169c84edab6141121da4386a"/>
      <w:r>
        <w:t xml:space="preserve">Project Charter — Riverside Water Reclamation Phase 2 Expansion</w:t>
      </w:r>
      <w:bookmarkEnd w:id="20"/>
    </w:p>
    <w:p>
      <w:pPr>
        <w:pStyle w:val="Heading2"/>
      </w:pPr>
      <w:bookmarkStart w:id="21" w:name="project-identification"/>
      <w:r>
        <w:t xml:space="preserve">1. Project identification</w:t>
      </w:r>
      <w:bookmarkEnd w:id="21"/>
    </w:p>
    <w:p>
      <w:pPr>
        <w:numPr>
          <w:ilvl w:val="0"/>
          <w:numId w:val="1001"/>
        </w:numPr>
        <w:pStyle w:val="Compact"/>
      </w:pPr>
      <w:r>
        <w:rPr>
          <w:b/>
        </w:rPr>
        <w:t xml:space="preserve">Project name:</w:t>
      </w:r>
      <w:r>
        <w:t xml:space="preserve"> </w:t>
      </w:r>
      <w:r>
        <w:t xml:space="preserve">Riverside Water Reclamation — Phase 2 Expansion</w:t>
      </w:r>
    </w:p>
    <w:p>
      <w:pPr>
        <w:numPr>
          <w:ilvl w:val="0"/>
          <w:numId w:val="1001"/>
        </w:numPr>
        <w:pStyle w:val="Compact"/>
      </w:pPr>
      <w:r>
        <w:rPr>
          <w:b/>
        </w:rPr>
        <w:t xml:space="preserve">Project ID:</w:t>
      </w:r>
      <w:r>
        <w:t xml:space="preserve"> </w:t>
      </w:r>
      <w:r>
        <w:t xml:space="preserve">NW-WW-2103</w:t>
      </w:r>
    </w:p>
    <w:p>
      <w:pPr>
        <w:numPr>
          <w:ilvl w:val="0"/>
          <w:numId w:val="1001"/>
        </w:numPr>
        <w:pStyle w:val="Compact"/>
      </w:pPr>
      <w:r>
        <w:rPr>
          <w:b/>
        </w:rPr>
        <w:t xml:space="preserve">Client:</w:t>
      </w:r>
      <w:r>
        <w:t xml:space="preserve"> </w:t>
      </w:r>
      <w:r>
        <w:t xml:space="preserve">City of Riverside Public Works Department</w:t>
      </w:r>
    </w:p>
    <w:p>
      <w:pPr>
        <w:numPr>
          <w:ilvl w:val="0"/>
          <w:numId w:val="1001"/>
        </w:numPr>
        <w:pStyle w:val="Compact"/>
      </w:pPr>
      <w:r>
        <w:rPr>
          <w:b/>
        </w:rPr>
        <w:t xml:space="preserve">Contract type:</w:t>
      </w:r>
      <w:r>
        <w:t xml:space="preserve"> </w:t>
      </w:r>
      <w:r>
        <w:t xml:space="preserve">Fixed-price</w:t>
      </w:r>
    </w:p>
    <w:p>
      <w:pPr>
        <w:numPr>
          <w:ilvl w:val="0"/>
          <w:numId w:val="1001"/>
        </w:numPr>
        <w:pStyle w:val="Compact"/>
      </w:pPr>
      <w:r>
        <w:rPr>
          <w:b/>
        </w:rPr>
        <w:t xml:space="preserve">Contract value:</w:t>
      </w:r>
      <w:r>
        <w:t xml:space="preserve"> </w:t>
      </w:r>
      <w:r>
        <w:t xml:space="preserve">$42.0 million</w:t>
      </w:r>
    </w:p>
    <w:p>
      <w:pPr>
        <w:numPr>
          <w:ilvl w:val="0"/>
          <w:numId w:val="1001"/>
        </w:numPr>
        <w:pStyle w:val="Compact"/>
      </w:pPr>
      <w:r>
        <w:rPr>
          <w:b/>
        </w:rPr>
        <w:t xml:space="preserve">Effective date:</w:t>
      </w:r>
      <w:r>
        <w:t xml:space="preserve"> </w:t>
      </w:r>
      <w:r>
        <w:t xml:space="preserve">12 March</w:t>
      </w:r>
    </w:p>
    <w:p>
      <w:pPr>
        <w:numPr>
          <w:ilvl w:val="0"/>
          <w:numId w:val="1001"/>
        </w:numPr>
        <w:pStyle w:val="Compact"/>
      </w:pPr>
      <w:r>
        <w:rPr>
          <w:b/>
        </w:rPr>
        <w:t xml:space="preserve">Target substantial completion date:</w:t>
      </w:r>
      <w:r>
        <w:t xml:space="preserve"> </w:t>
      </w:r>
      <w:r>
        <w:t xml:space="preserve">30 January, year+2</w:t>
      </w:r>
    </w:p>
    <w:p>
      <w:pPr>
        <w:numPr>
          <w:ilvl w:val="0"/>
          <w:numId w:val="1001"/>
        </w:numPr>
        <w:pStyle w:val="Compact"/>
      </w:pPr>
      <w:r>
        <w:rPr>
          <w:b/>
        </w:rPr>
        <w:t xml:space="preserve">Sponsor (Northwood):</w:t>
      </w:r>
      <w:r>
        <w:t xml:space="preserve"> </w:t>
      </w:r>
      <w:r>
        <w:t xml:space="preserve">VP Water &amp; Wastewater</w:t>
      </w:r>
    </w:p>
    <w:p>
      <w:pPr>
        <w:numPr>
          <w:ilvl w:val="0"/>
          <w:numId w:val="1001"/>
        </w:numPr>
        <w:pStyle w:val="Compact"/>
      </w:pPr>
      <w:r>
        <w:rPr>
          <w:b/>
        </w:rPr>
        <w:t xml:space="preserve">Project Director:</w:t>
      </w:r>
      <w:r>
        <w:t xml:space="preserve"> </w:t>
      </w:r>
      <w:r>
        <w:t xml:space="preserve">R. Tannehill</w:t>
      </w:r>
    </w:p>
    <w:p>
      <w:pPr>
        <w:numPr>
          <w:ilvl w:val="0"/>
          <w:numId w:val="1001"/>
        </w:numPr>
        <w:pStyle w:val="Compact"/>
      </w:pPr>
      <w:r>
        <w:rPr>
          <w:b/>
        </w:rPr>
        <w:t xml:space="preserve">Project Manager:</w:t>
      </w:r>
      <w:r>
        <w:t xml:space="preserve"> </w:t>
      </w:r>
      <w:r>
        <w:t xml:space="preserve">M. Acharya</w:t>
      </w:r>
    </w:p>
    <w:p>
      <w:pPr>
        <w:pStyle w:val="Heading2"/>
      </w:pPr>
      <w:bookmarkStart w:id="22" w:name="overview"/>
      <w:r>
        <w:t xml:space="preserve">2. Overview</w:t>
      </w:r>
      <w:bookmarkEnd w:id="22"/>
    </w:p>
    <w:p>
      <w:pPr>
        <w:pStyle w:val="FirstParagraph"/>
      </w:pPr>
      <w:r>
        <w:t xml:space="preserve">Expansion of the City of Riverside’s existing 18 MGD wastewater treatment facility to a treated capacity of 30 MGD. Northwood will design, procure, build and commission additional headworks screening, two new biological treatment trains, two secondary clarifiers, tertiary filtration improvements, and the associated electrical, instrumentation and control systems. Project enables the city to meet projected demand through year+15 and to satisfy a state-mandated effluent standard taking effect in three years.</w:t>
      </w:r>
    </w:p>
    <w:p>
      <w:pPr>
        <w:pStyle w:val="Heading2"/>
      </w:pPr>
      <w:bookmarkStart w:id="23" w:name="objectives"/>
      <w:r>
        <w:t xml:space="preserve">3. Objectives</w:t>
      </w:r>
      <w:bookmarkEnd w:id="23"/>
    </w:p>
    <w:p>
      <w:pPr>
        <w:numPr>
          <w:ilvl w:val="0"/>
          <w:numId w:val="1002"/>
        </w:numPr>
        <w:pStyle w:val="Compact"/>
      </w:pPr>
      <w:r>
        <w:t xml:space="preserve">Deliver treated capacity of 30 MGD, verified through 30-day continuous performance test, by 30 January year+2.</w:t>
      </w:r>
    </w:p>
    <w:p>
      <w:pPr>
        <w:numPr>
          <w:ilvl w:val="0"/>
          <w:numId w:val="1002"/>
        </w:numPr>
        <w:pStyle w:val="Compact"/>
      </w:pPr>
      <w:r>
        <w:t xml:space="preserve">Achieve effluent compliance with the new state standard (TN &lt;8 mg/L, TP &lt;0.5 mg/L) verified during the performance test.</w:t>
      </w:r>
    </w:p>
    <w:p>
      <w:pPr>
        <w:numPr>
          <w:ilvl w:val="0"/>
          <w:numId w:val="1002"/>
        </w:numPr>
        <w:pStyle w:val="Compact"/>
      </w:pPr>
      <w:r>
        <w:t xml:space="preserve">Maintain plant operations throughout construction with no unplanned process upsets exceeding state-permit thresholds.</w:t>
      </w:r>
    </w:p>
    <w:p>
      <w:pPr>
        <w:numPr>
          <w:ilvl w:val="0"/>
          <w:numId w:val="1002"/>
        </w:numPr>
        <w:pStyle w:val="Compact"/>
      </w:pPr>
      <w:r>
        <w:t xml:space="preserve">Deliver the project at or above 8.5% margin on contract value, with cost variance within ±3% of approved budget.</w:t>
      </w:r>
    </w:p>
    <w:p>
      <w:pPr>
        <w:numPr>
          <w:ilvl w:val="0"/>
          <w:numId w:val="1002"/>
        </w:numPr>
        <w:pStyle w:val="Compact"/>
      </w:pPr>
      <w:r>
        <w:t xml:space="preserve">Achieve zero lost-time injuries across the construction period.</w:t>
      </w:r>
    </w:p>
    <w:p>
      <w:pPr>
        <w:pStyle w:val="Heading2"/>
      </w:pPr>
      <w:bookmarkStart w:id="24" w:name="scope"/>
      <w:r>
        <w:t xml:space="preserve">4. Scope</w:t>
      </w:r>
      <w:bookmarkEnd w:id="24"/>
    </w:p>
    <w:p>
      <w:pPr>
        <w:pStyle w:val="Heading3"/>
      </w:pPr>
      <w:bookmarkStart w:id="25" w:name="in-scope"/>
      <w:r>
        <w:t xml:space="preserve">4.1 In scope</w:t>
      </w:r>
      <w:bookmarkEnd w:id="25"/>
    </w:p>
    <w:p>
      <w:pPr>
        <w:numPr>
          <w:ilvl w:val="0"/>
          <w:numId w:val="1003"/>
        </w:numPr>
        <w:pStyle w:val="Compact"/>
      </w:pPr>
      <w:r>
        <w:t xml:space="preserve">Detailed design of all civil, mechanical, electrical and I&amp;C work packages.</w:t>
      </w:r>
    </w:p>
    <w:p>
      <w:pPr>
        <w:numPr>
          <w:ilvl w:val="0"/>
          <w:numId w:val="1003"/>
        </w:numPr>
        <w:pStyle w:val="Compact"/>
      </w:pPr>
      <w:r>
        <w:t xml:space="preserve">Procurement of all process equipment, including aeration blowers, clarifier mechanisms, filtration media, and SCADA upgrades.</w:t>
      </w:r>
    </w:p>
    <w:p>
      <w:pPr>
        <w:numPr>
          <w:ilvl w:val="0"/>
          <w:numId w:val="1003"/>
        </w:numPr>
        <w:pStyle w:val="Compact"/>
      </w:pPr>
      <w:r>
        <w:t xml:space="preserve">Construction of two new biological treatment basins, two new secondary clarifiers, headworks expansion, and tertiary filter retrofit.</w:t>
      </w:r>
    </w:p>
    <w:p>
      <w:pPr>
        <w:numPr>
          <w:ilvl w:val="0"/>
          <w:numId w:val="1003"/>
        </w:numPr>
        <w:pStyle w:val="Compact"/>
      </w:pPr>
      <w:r>
        <w:t xml:space="preserve">Tie-ins to existing process trains during scheduled plant shutdowns.</w:t>
      </w:r>
    </w:p>
    <w:p>
      <w:pPr>
        <w:numPr>
          <w:ilvl w:val="0"/>
          <w:numId w:val="1003"/>
        </w:numPr>
        <w:pStyle w:val="Compact"/>
      </w:pPr>
      <w:r>
        <w:t xml:space="preserve">Commissioning, performance testing, operator training, and as-built documentation.</w:t>
      </w:r>
    </w:p>
    <w:p>
      <w:pPr>
        <w:numPr>
          <w:ilvl w:val="0"/>
          <w:numId w:val="1003"/>
        </w:numPr>
        <w:pStyle w:val="Compact"/>
      </w:pPr>
      <w:r>
        <w:t xml:space="preserve">24-month warranty period.</w:t>
      </w:r>
    </w:p>
    <w:p>
      <w:pPr>
        <w:pStyle w:val="Heading3"/>
      </w:pPr>
      <w:bookmarkStart w:id="26" w:name="out-of-scope"/>
      <w:r>
        <w:t xml:space="preserve">4.2 Out of scope</w:t>
      </w:r>
      <w:bookmarkEnd w:id="26"/>
    </w:p>
    <w:p>
      <w:pPr>
        <w:numPr>
          <w:ilvl w:val="0"/>
          <w:numId w:val="1004"/>
        </w:numPr>
        <w:pStyle w:val="Compact"/>
      </w:pPr>
      <w:r>
        <w:t xml:space="preserve">Sludge dewatering capacity expansion (client deferred to a future phase).</w:t>
      </w:r>
    </w:p>
    <w:p>
      <w:pPr>
        <w:numPr>
          <w:ilvl w:val="0"/>
          <w:numId w:val="1004"/>
        </w:numPr>
        <w:pStyle w:val="Compact"/>
      </w:pPr>
      <w:r>
        <w:t xml:space="preserve">Effluent outfall modifications (separate contract awarded to a marine specialist).</w:t>
      </w:r>
    </w:p>
    <w:p>
      <w:pPr>
        <w:numPr>
          <w:ilvl w:val="0"/>
          <w:numId w:val="1004"/>
        </w:numPr>
        <w:pStyle w:val="Compact"/>
      </w:pPr>
      <w:r>
        <w:t xml:space="preserve">Headworks grit removal equipment replacement (client-supplied, installed by client’s O&amp;M team).</w:t>
      </w:r>
    </w:p>
    <w:p>
      <w:pPr>
        <w:numPr>
          <w:ilvl w:val="0"/>
          <w:numId w:val="1004"/>
        </w:numPr>
        <w:pStyle w:val="Compact"/>
      </w:pPr>
      <w:r>
        <w:t xml:space="preserve">Plant administration building improvements.</w:t>
      </w:r>
    </w:p>
    <w:p>
      <w:pPr>
        <w:pStyle w:val="Heading2"/>
      </w:pPr>
      <w:bookmarkStart w:id="27" w:name="key-stakeholders"/>
      <w:r>
        <w:t xml:space="preserve">5. Key stakeholders</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Organisation</w:t>
            </w:r>
          </w:p>
        </w:tc>
        <w:tc>
          <w:tcPr>
            <w:tcBorders>
              <w:bottom w:val="single"/>
            </w:tcBorders>
            <w:vAlign w:val="bottom"/>
          </w:tcPr>
          <w:p>
            <w:pPr>
              <w:pStyle w:val="Compact"/>
              <w:jc w:val="left"/>
            </w:pPr>
            <w:r>
              <w:t xml:space="preserve">Responsibility</w:t>
            </w:r>
          </w:p>
        </w:tc>
      </w:tr>
      <w:tr>
        <w:tc>
          <w:p>
            <w:pPr>
              <w:pStyle w:val="Compact"/>
              <w:jc w:val="left"/>
            </w:pPr>
            <w:r>
              <w:t xml:space="preserve">Sponsor</w:t>
            </w:r>
          </w:p>
        </w:tc>
        <w:tc>
          <w:p>
            <w:pPr>
              <w:pStyle w:val="Compact"/>
              <w:jc w:val="left"/>
            </w:pPr>
            <w:r>
              <w:t xml:space="preserve">VP Water &amp; Wastewater</w:t>
            </w:r>
          </w:p>
        </w:tc>
        <w:tc>
          <w:p>
            <w:pPr>
              <w:pStyle w:val="Compact"/>
              <w:jc w:val="left"/>
            </w:pPr>
            <w:r>
              <w:t xml:space="preserve">Northwood</w:t>
            </w:r>
          </w:p>
        </w:tc>
        <w:tc>
          <w:p>
            <w:pPr>
              <w:pStyle w:val="Compact"/>
              <w:jc w:val="left"/>
            </w:pPr>
            <w:r>
              <w:t xml:space="preserve">Internal accountability, monthly reviews</w:t>
            </w:r>
          </w:p>
        </w:tc>
      </w:tr>
      <w:tr>
        <w:tc>
          <w:p>
            <w:pPr>
              <w:pStyle w:val="Compact"/>
              <w:jc w:val="left"/>
            </w:pPr>
            <w:r>
              <w:t xml:space="preserve">Project Director</w:t>
            </w:r>
          </w:p>
        </w:tc>
        <w:tc>
          <w:p>
            <w:pPr>
              <w:pStyle w:val="Compact"/>
              <w:jc w:val="left"/>
            </w:pPr>
            <w:r>
              <w:t xml:space="preserve">R. Tannehill</w:t>
            </w:r>
          </w:p>
        </w:tc>
        <w:tc>
          <w:p>
            <w:pPr>
              <w:pStyle w:val="Compact"/>
              <w:jc w:val="left"/>
            </w:pPr>
            <w:r>
              <w:t xml:space="preserve">Northwood</w:t>
            </w:r>
          </w:p>
        </w:tc>
        <w:tc>
          <w:p>
            <w:pPr>
              <w:pStyle w:val="Compact"/>
              <w:jc w:val="left"/>
            </w:pPr>
            <w:r>
              <w:t xml:space="preserve">Commercial outcome, escalations</w:t>
            </w:r>
          </w:p>
        </w:tc>
      </w:tr>
      <w:tr>
        <w:tc>
          <w:p>
            <w:pPr>
              <w:pStyle w:val="Compact"/>
              <w:jc w:val="left"/>
            </w:pPr>
            <w:r>
              <w:t xml:space="preserve">PM</w:t>
            </w:r>
          </w:p>
        </w:tc>
        <w:tc>
          <w:p>
            <w:pPr>
              <w:pStyle w:val="Compact"/>
              <w:jc w:val="left"/>
            </w:pPr>
            <w:r>
              <w:t xml:space="preserve">M. Acharya</w:t>
            </w:r>
          </w:p>
        </w:tc>
        <w:tc>
          <w:p>
            <w:pPr>
              <w:pStyle w:val="Compact"/>
              <w:jc w:val="left"/>
            </w:pPr>
            <w:r>
              <w:t xml:space="preserve">Northwood</w:t>
            </w:r>
          </w:p>
        </w:tc>
        <w:tc>
          <w:p>
            <w:pPr>
              <w:pStyle w:val="Compact"/>
              <w:jc w:val="left"/>
            </w:pPr>
            <w:r>
              <w:t xml:space="preserve">Day-to-day delivery</w:t>
            </w:r>
          </w:p>
        </w:tc>
      </w:tr>
      <w:tr>
        <w:tc>
          <w:p>
            <w:pPr>
              <w:pStyle w:val="Compact"/>
              <w:jc w:val="left"/>
            </w:pPr>
            <w:r>
              <w:t xml:space="preserve">Client Project Manager</w:t>
            </w:r>
          </w:p>
        </w:tc>
        <w:tc>
          <w:p>
            <w:pPr>
              <w:pStyle w:val="Compact"/>
              <w:jc w:val="left"/>
            </w:pPr>
            <w:r>
              <w:t xml:space="preserve">D. Hoffmann</w:t>
            </w:r>
          </w:p>
        </w:tc>
        <w:tc>
          <w:p>
            <w:pPr>
              <w:pStyle w:val="Compact"/>
              <w:jc w:val="left"/>
            </w:pPr>
            <w:r>
              <w:t xml:space="preserve">City of Riverside</w:t>
            </w:r>
          </w:p>
        </w:tc>
        <w:tc>
          <w:p>
            <w:pPr>
              <w:pStyle w:val="Compact"/>
              <w:jc w:val="left"/>
            </w:pPr>
            <w:r>
              <w:t xml:space="preserve">Single point of contact on client side</w:t>
            </w:r>
          </w:p>
        </w:tc>
      </w:tr>
      <w:tr>
        <w:tc>
          <w:p>
            <w:pPr>
              <w:pStyle w:val="Compact"/>
              <w:jc w:val="left"/>
            </w:pPr>
            <w:r>
              <w:t xml:space="preserve">Plant Superintendent</w:t>
            </w:r>
          </w:p>
        </w:tc>
        <w:tc>
          <w:p>
            <w:pPr>
              <w:pStyle w:val="Compact"/>
              <w:jc w:val="left"/>
            </w:pPr>
            <w:r>
              <w:t xml:space="preserve">K. Velasquez</w:t>
            </w:r>
          </w:p>
        </w:tc>
        <w:tc>
          <w:p>
            <w:pPr>
              <w:pStyle w:val="Compact"/>
              <w:jc w:val="left"/>
            </w:pPr>
            <w:r>
              <w:t xml:space="preserve">City of Riverside</w:t>
            </w:r>
          </w:p>
        </w:tc>
        <w:tc>
          <w:p>
            <w:pPr>
              <w:pStyle w:val="Compact"/>
              <w:jc w:val="left"/>
            </w:pPr>
            <w:r>
              <w:t xml:space="preserve">Operations interface during construction</w:t>
            </w:r>
          </w:p>
        </w:tc>
      </w:tr>
      <w:tr>
        <w:tc>
          <w:p>
            <w:pPr>
              <w:pStyle w:val="Compact"/>
              <w:jc w:val="left"/>
            </w:pPr>
            <w:r>
              <w:t xml:space="preserve">State Regulator</w:t>
            </w:r>
          </w:p>
        </w:tc>
        <w:tc>
          <w:p>
            <w:pPr>
              <w:pStyle w:val="Compact"/>
              <w:jc w:val="left"/>
            </w:pPr>
            <w:r>
              <w:t xml:space="preserve">(Various)</w:t>
            </w:r>
          </w:p>
        </w:tc>
        <w:tc>
          <w:p>
            <w:pPr>
              <w:pStyle w:val="Compact"/>
              <w:jc w:val="left"/>
            </w:pPr>
            <w:r>
              <w:t xml:space="preserve">State Environmental Agency</w:t>
            </w:r>
          </w:p>
        </w:tc>
        <w:tc>
          <w:p>
            <w:pPr>
              <w:pStyle w:val="Compact"/>
              <w:jc w:val="left"/>
            </w:pPr>
            <w:r>
              <w:t xml:space="preserve">Permits, inspections, performance test sign-off</w:t>
            </w:r>
          </w:p>
        </w:tc>
      </w:tr>
    </w:tbl>
    <w:p>
      <w:pPr>
        <w:pStyle w:val="Heading2"/>
      </w:pPr>
      <w:bookmarkStart w:id="28" w:name="schedule-and-milestones"/>
      <w:r>
        <w:t xml:space="preserve">6. Schedule and milestones</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Target date</w:t>
            </w:r>
          </w:p>
        </w:tc>
        <w:tc>
          <w:tcPr>
            <w:tcBorders>
              <w:bottom w:val="single"/>
            </w:tcBorders>
            <w:vAlign w:val="bottom"/>
          </w:tcPr>
          <w:p>
            <w:pPr>
              <w:pStyle w:val="Compact"/>
              <w:jc w:val="left"/>
            </w:pPr>
            <w:r>
              <w:t xml:space="preserve">Payment milestone?</w:t>
            </w:r>
          </w:p>
        </w:tc>
      </w:tr>
      <w:tr>
        <w:tc>
          <w:p>
            <w:pPr>
              <w:pStyle w:val="Compact"/>
              <w:jc w:val="left"/>
            </w:pPr>
            <w:r>
              <w:t xml:space="preserve">Detailed Engineering 60% review</w:t>
            </w:r>
          </w:p>
        </w:tc>
        <w:tc>
          <w:p>
            <w:pPr>
              <w:pStyle w:val="Compact"/>
              <w:jc w:val="left"/>
            </w:pPr>
            <w:r>
              <w:t xml:space="preserve">30 August</w:t>
            </w:r>
          </w:p>
        </w:tc>
        <w:tc>
          <w:p>
            <w:pPr>
              <w:pStyle w:val="Compact"/>
              <w:jc w:val="left"/>
            </w:pPr>
            <w:r>
              <w:t xml:space="preserve">Yes</w:t>
            </w:r>
          </w:p>
        </w:tc>
      </w:tr>
      <w:tr>
        <w:tc>
          <w:p>
            <w:pPr>
              <w:pStyle w:val="Compact"/>
              <w:jc w:val="left"/>
            </w:pPr>
            <w:r>
              <w:t xml:space="preserve">Long-lead equipment POs released</w:t>
            </w:r>
          </w:p>
        </w:tc>
        <w:tc>
          <w:p>
            <w:pPr>
              <w:pStyle w:val="Compact"/>
              <w:jc w:val="left"/>
            </w:pPr>
            <w:r>
              <w:t xml:space="preserve">15 October</w:t>
            </w:r>
          </w:p>
        </w:tc>
        <w:tc>
          <w:p>
            <w:pPr>
              <w:pStyle w:val="Compact"/>
              <w:jc w:val="left"/>
            </w:pPr>
            <w:r>
              <w:t xml:space="preserve">No</w:t>
            </w:r>
          </w:p>
        </w:tc>
      </w:tr>
      <w:tr>
        <w:tc>
          <w:p>
            <w:pPr>
              <w:pStyle w:val="Compact"/>
              <w:jc w:val="left"/>
            </w:pPr>
            <w:r>
              <w:t xml:space="preserve">Mobilisation on site</w:t>
            </w:r>
          </w:p>
        </w:tc>
        <w:tc>
          <w:p>
            <w:pPr>
              <w:pStyle w:val="Compact"/>
              <w:jc w:val="left"/>
            </w:pPr>
            <w:r>
              <w:t xml:space="preserve">20 January, year+1</w:t>
            </w:r>
          </w:p>
        </w:tc>
        <w:tc>
          <w:p>
            <w:pPr>
              <w:pStyle w:val="Compact"/>
              <w:jc w:val="left"/>
            </w:pPr>
            <w:r>
              <w:t xml:space="preserve">Yes</w:t>
            </w:r>
          </w:p>
        </w:tc>
      </w:tr>
      <w:tr>
        <w:tc>
          <w:p>
            <w:pPr>
              <w:pStyle w:val="Compact"/>
              <w:jc w:val="left"/>
            </w:pPr>
            <w:r>
              <w:t xml:space="preserve">First new biological train commissioned</w:t>
            </w:r>
          </w:p>
        </w:tc>
        <w:tc>
          <w:p>
            <w:pPr>
              <w:pStyle w:val="Compact"/>
              <w:jc w:val="left"/>
            </w:pPr>
            <w:r>
              <w:t xml:space="preserve">30 September, year+1</w:t>
            </w:r>
          </w:p>
        </w:tc>
        <w:tc>
          <w:p>
            <w:pPr>
              <w:pStyle w:val="Compact"/>
              <w:jc w:val="left"/>
            </w:pPr>
            <w:r>
              <w:t xml:space="preserve">Yes</w:t>
            </w:r>
          </w:p>
        </w:tc>
      </w:tr>
      <w:tr>
        <w:tc>
          <w:p>
            <w:pPr>
              <w:pStyle w:val="Compact"/>
              <w:jc w:val="left"/>
            </w:pPr>
            <w:r>
              <w:t xml:space="preserve">Second train commissioned, tie-ins complete</w:t>
            </w:r>
          </w:p>
        </w:tc>
        <w:tc>
          <w:p>
            <w:pPr>
              <w:pStyle w:val="Compact"/>
              <w:jc w:val="left"/>
            </w:pPr>
            <w:r>
              <w:t xml:space="preserve">30 November, year+1</w:t>
            </w:r>
          </w:p>
        </w:tc>
        <w:tc>
          <w:p>
            <w:pPr>
              <w:pStyle w:val="Compact"/>
              <w:jc w:val="left"/>
            </w:pPr>
            <w:r>
              <w:t xml:space="preserve">Yes</w:t>
            </w:r>
          </w:p>
        </w:tc>
      </w:tr>
      <w:tr>
        <w:tc>
          <w:p>
            <w:pPr>
              <w:pStyle w:val="Compact"/>
              <w:jc w:val="left"/>
            </w:pPr>
            <w:r>
              <w:t xml:space="preserve">Performance test commenced</w:t>
            </w:r>
          </w:p>
        </w:tc>
        <w:tc>
          <w:p>
            <w:pPr>
              <w:pStyle w:val="Compact"/>
              <w:jc w:val="left"/>
            </w:pPr>
            <w:r>
              <w:t xml:space="preserve">1 December, year+1</w:t>
            </w:r>
          </w:p>
        </w:tc>
        <w:tc>
          <w:p>
            <w:pPr>
              <w:pStyle w:val="Compact"/>
              <w:jc w:val="left"/>
            </w:pPr>
            <w:r>
              <w:t xml:space="preserve">No</w:t>
            </w:r>
          </w:p>
        </w:tc>
      </w:tr>
      <w:tr>
        <w:tc>
          <w:p>
            <w:pPr>
              <w:pStyle w:val="Compact"/>
              <w:jc w:val="left"/>
            </w:pPr>
            <w:r>
              <w:t xml:space="preserve">Substantial Completion</w:t>
            </w:r>
          </w:p>
        </w:tc>
        <w:tc>
          <w:p>
            <w:pPr>
              <w:pStyle w:val="Compact"/>
              <w:jc w:val="left"/>
            </w:pPr>
            <w:r>
              <w:t xml:space="preserve">30 January, year+2</w:t>
            </w:r>
          </w:p>
        </w:tc>
        <w:tc>
          <w:p>
            <w:pPr>
              <w:pStyle w:val="Compact"/>
              <w:jc w:val="left"/>
            </w:pPr>
            <w:r>
              <w:t xml:space="preserve">Yes</w:t>
            </w:r>
          </w:p>
        </w:tc>
      </w:tr>
    </w:tbl>
    <w:p>
      <w:pPr>
        <w:pStyle w:val="Heading2"/>
      </w:pPr>
      <w:bookmarkStart w:id="29" w:name="commercial-baseline"/>
      <w:r>
        <w:t xml:space="preserve">7. Commercial baseline</w:t>
      </w:r>
      <w:bookmarkEnd w:id="29"/>
    </w:p>
    <w:p>
      <w:pPr>
        <w:numPr>
          <w:ilvl w:val="0"/>
          <w:numId w:val="1005"/>
        </w:numPr>
        <w:pStyle w:val="Compact"/>
      </w:pPr>
      <w:r>
        <w:rPr>
          <w:b/>
        </w:rPr>
        <w:t xml:space="preserve">Contract value:</w:t>
      </w:r>
      <w:r>
        <w:t xml:space="preserve"> </w:t>
      </w:r>
      <w:r>
        <w:t xml:space="preserve">$42.0 million</w:t>
      </w:r>
    </w:p>
    <w:p>
      <w:pPr>
        <w:numPr>
          <w:ilvl w:val="0"/>
          <w:numId w:val="1005"/>
        </w:numPr>
        <w:pStyle w:val="Compact"/>
      </w:pPr>
      <w:r>
        <w:rPr>
          <w:b/>
        </w:rPr>
        <w:t xml:space="preserve">Internal target margin:</w:t>
      </w:r>
      <w:r>
        <w:t xml:space="preserve"> </w:t>
      </w:r>
      <w:r>
        <w:t xml:space="preserve">8.5%</w:t>
      </w:r>
    </w:p>
    <w:p>
      <w:pPr>
        <w:numPr>
          <w:ilvl w:val="0"/>
          <w:numId w:val="1005"/>
        </w:numPr>
        <w:pStyle w:val="Compact"/>
      </w:pPr>
      <w:r>
        <w:rPr>
          <w:b/>
        </w:rPr>
        <w:t xml:space="preserve">Approved budget (cost):</w:t>
      </w:r>
      <w:r>
        <w:t xml:space="preserve"> </w:t>
      </w:r>
      <w:r>
        <w:t xml:space="preserve">$38.4 million</w:t>
      </w:r>
    </w:p>
    <w:p>
      <w:pPr>
        <w:numPr>
          <w:ilvl w:val="0"/>
          <w:numId w:val="1005"/>
        </w:numPr>
        <w:pStyle w:val="Compact"/>
      </w:pPr>
      <w:r>
        <w:rPr>
          <w:b/>
        </w:rPr>
        <w:t xml:space="preserve">Contingency (Northwood):</w:t>
      </w:r>
      <w:r>
        <w:t xml:space="preserve"> </w:t>
      </w:r>
      <w:r>
        <w:t xml:space="preserve">$1.8 million</w:t>
      </w:r>
    </w:p>
    <w:p>
      <w:pPr>
        <w:numPr>
          <w:ilvl w:val="0"/>
          <w:numId w:val="1005"/>
        </w:numPr>
        <w:pStyle w:val="Compact"/>
      </w:pPr>
      <w:r>
        <w:rPr>
          <w:b/>
        </w:rPr>
        <w:t xml:space="preserve">Liquidated damages exposure:</w:t>
      </w:r>
      <w:r>
        <w:t xml:space="preserve"> </w:t>
      </w:r>
      <w:r>
        <w:t xml:space="preserve">0.4% of contract value per week, capped at 8% ($3.36 million)</w:t>
      </w:r>
    </w:p>
    <w:p>
      <w:pPr>
        <w:numPr>
          <w:ilvl w:val="0"/>
          <w:numId w:val="1005"/>
        </w:numPr>
        <w:pStyle w:val="Compact"/>
      </w:pPr>
      <w:r>
        <w:rPr>
          <w:b/>
        </w:rPr>
        <w:t xml:space="preserve">Retention terms:</w:t>
      </w:r>
      <w:r>
        <w:t xml:space="preserve"> </w:t>
      </w:r>
      <w:r>
        <w:t xml:space="preserve">10% retention; 50% released at Substantial Completion, 50% at end of warranty</w:t>
      </w:r>
    </w:p>
    <w:p>
      <w:pPr>
        <w:numPr>
          <w:ilvl w:val="0"/>
          <w:numId w:val="1005"/>
        </w:numPr>
        <w:pStyle w:val="Compact"/>
      </w:pPr>
      <w:r>
        <w:rPr>
          <w:b/>
        </w:rPr>
        <w:t xml:space="preserve">Payment terms:</w:t>
      </w:r>
      <w:r>
        <w:t xml:space="preserve"> </w:t>
      </w:r>
      <w:r>
        <w:t xml:space="preserve">Net 30 from approved invoice; milestone-based</w:t>
      </w:r>
    </w:p>
    <w:p>
      <w:pPr>
        <w:pStyle w:val="Heading2"/>
      </w:pPr>
      <w:bookmarkStart w:id="30" w:name="risks-top-5"/>
      <w:r>
        <w:t xml:space="preserve">8. Risks (top 5)</w:t>
      </w:r>
      <w:bookmarkEnd w:id="3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Probability</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Response</w:t>
            </w:r>
          </w:p>
        </w:tc>
      </w:tr>
      <w:tr>
        <w:tc>
          <w:p>
            <w:pPr>
              <w:pStyle w:val="Compact"/>
              <w:jc w:val="left"/>
            </w:pPr>
            <w:r>
              <w:t xml:space="preserve">Long-lead blower delivery exceeds 32 weeks</w:t>
            </w:r>
          </w:p>
        </w:tc>
        <w:tc>
          <w:p>
            <w:pPr>
              <w:pStyle w:val="Compact"/>
              <w:jc w:val="left"/>
            </w:pPr>
            <w:r>
              <w:t xml:space="preserve">Schedule</w:t>
            </w:r>
          </w:p>
        </w:tc>
        <w:tc>
          <w:p>
            <w:pPr>
              <w:pStyle w:val="Compact"/>
              <w:jc w:val="left"/>
            </w:pPr>
            <w:r>
              <w:t xml:space="preserve">M</w:t>
            </w:r>
          </w:p>
        </w:tc>
        <w:tc>
          <w:p>
            <w:pPr>
              <w:pStyle w:val="Compact"/>
              <w:jc w:val="left"/>
            </w:pPr>
            <w:r>
              <w:t xml:space="preserve">H</w:t>
            </w:r>
          </w:p>
        </w:tc>
        <w:tc>
          <w:p>
            <w:pPr>
              <w:pStyle w:val="Compact"/>
              <w:jc w:val="left"/>
            </w:pPr>
            <w:r>
              <w:t xml:space="preserve">Mitigate — early PO release, expediting, secondary supplier qualified</w:t>
            </w:r>
          </w:p>
        </w:tc>
      </w:tr>
      <w:tr>
        <w:tc>
          <w:p>
            <w:pPr>
              <w:pStyle w:val="Compact"/>
              <w:jc w:val="left"/>
            </w:pPr>
            <w:r>
              <w:t xml:space="preserve">Client-driven scope change for additional UV disinfection capacity</w:t>
            </w:r>
          </w:p>
        </w:tc>
        <w:tc>
          <w:p>
            <w:pPr>
              <w:pStyle w:val="Compact"/>
              <w:jc w:val="left"/>
            </w:pPr>
            <w:r>
              <w:t xml:space="preserve">Commercial</w:t>
            </w:r>
          </w:p>
        </w:tc>
        <w:tc>
          <w:p>
            <w:pPr>
              <w:pStyle w:val="Compact"/>
              <w:jc w:val="left"/>
            </w:pPr>
            <w:r>
              <w:t xml:space="preserve">M</w:t>
            </w:r>
          </w:p>
        </w:tc>
        <w:tc>
          <w:p>
            <w:pPr>
              <w:pStyle w:val="Compact"/>
              <w:jc w:val="left"/>
            </w:pPr>
            <w:r>
              <w:t xml:space="preserve">M</w:t>
            </w:r>
          </w:p>
        </w:tc>
        <w:tc>
          <w:p>
            <w:pPr>
              <w:pStyle w:val="Compact"/>
              <w:jc w:val="left"/>
            </w:pPr>
            <w:r>
              <w:t xml:space="preserve">Transfer — formal change order required; pricing pre-agreed in master agreement</w:t>
            </w:r>
          </w:p>
        </w:tc>
      </w:tr>
      <w:tr>
        <w:tc>
          <w:p>
            <w:pPr>
              <w:pStyle w:val="Compact"/>
              <w:jc w:val="left"/>
            </w:pPr>
            <w:r>
              <w:t xml:space="preserve">Process tie-ins exceed permitted plant shutdown windows</w:t>
            </w:r>
          </w:p>
        </w:tc>
        <w:tc>
          <w:p>
            <w:pPr>
              <w:pStyle w:val="Compact"/>
              <w:jc w:val="left"/>
            </w:pPr>
            <w:r>
              <w:t xml:space="preserve">Schedule</w:t>
            </w:r>
          </w:p>
        </w:tc>
        <w:tc>
          <w:p>
            <w:pPr>
              <w:pStyle w:val="Compact"/>
              <w:jc w:val="left"/>
            </w:pPr>
            <w:r>
              <w:t xml:space="preserve">M</w:t>
            </w:r>
          </w:p>
        </w:tc>
        <w:tc>
          <w:p>
            <w:pPr>
              <w:pStyle w:val="Compact"/>
              <w:jc w:val="left"/>
            </w:pPr>
            <w:r>
              <w:t xml:space="preserve">H</w:t>
            </w:r>
          </w:p>
        </w:tc>
        <w:tc>
          <w:p>
            <w:pPr>
              <w:pStyle w:val="Compact"/>
              <w:jc w:val="left"/>
            </w:pPr>
            <w:r>
              <w:t xml:space="preserve">Mitigate — detailed sequencing plan, dry runs, weekly coordination with plant superintendent</w:t>
            </w:r>
          </w:p>
        </w:tc>
      </w:tr>
      <w:tr>
        <w:tc>
          <w:p>
            <w:pPr>
              <w:pStyle w:val="Compact"/>
              <w:jc w:val="left"/>
            </w:pPr>
            <w:r>
              <w:t xml:space="preserve">Effluent performance test fails on TN limit</w:t>
            </w:r>
          </w:p>
        </w:tc>
        <w:tc>
          <w:p>
            <w:pPr>
              <w:pStyle w:val="Compact"/>
              <w:jc w:val="left"/>
            </w:pPr>
            <w:r>
              <w:t xml:space="preserve">Technical</w:t>
            </w:r>
          </w:p>
        </w:tc>
        <w:tc>
          <w:p>
            <w:pPr>
              <w:pStyle w:val="Compact"/>
              <w:jc w:val="left"/>
            </w:pPr>
            <w:r>
              <w:t xml:space="preserve">L</w:t>
            </w:r>
          </w:p>
        </w:tc>
        <w:tc>
          <w:p>
            <w:pPr>
              <w:pStyle w:val="Compact"/>
              <w:jc w:val="left"/>
            </w:pPr>
            <w:r>
              <w:t xml:space="preserve">H</w:t>
            </w:r>
          </w:p>
        </w:tc>
        <w:tc>
          <w:p>
            <w:pPr>
              <w:pStyle w:val="Compact"/>
              <w:jc w:val="left"/>
            </w:pPr>
            <w:r>
              <w:t xml:space="preserve">Mitigate — design margin on biological reactor sizing, third-party process validation review</w:t>
            </w:r>
          </w:p>
        </w:tc>
      </w:tr>
      <w:tr>
        <w:tc>
          <w:p>
            <w:pPr>
              <w:pStyle w:val="Compact"/>
              <w:jc w:val="left"/>
            </w:pPr>
            <w:r>
              <w:t xml:space="preserve">Sub-contractor on civil works fails to perform</w:t>
            </w:r>
          </w:p>
        </w:tc>
        <w:tc>
          <w:p>
            <w:pPr>
              <w:pStyle w:val="Compact"/>
              <w:jc w:val="left"/>
            </w:pPr>
            <w:r>
              <w:t xml:space="preserve">People</w:t>
            </w:r>
          </w:p>
        </w:tc>
        <w:tc>
          <w:p>
            <w:pPr>
              <w:pStyle w:val="Compact"/>
              <w:jc w:val="left"/>
            </w:pPr>
            <w:r>
              <w:t xml:space="preserve">L</w:t>
            </w:r>
          </w:p>
        </w:tc>
        <w:tc>
          <w:p>
            <w:pPr>
              <w:pStyle w:val="Compact"/>
              <w:jc w:val="left"/>
            </w:pPr>
            <w:r>
              <w:t xml:space="preserve">H</w:t>
            </w:r>
          </w:p>
        </w:tc>
        <w:tc>
          <w:p>
            <w:pPr>
              <w:pStyle w:val="Compact"/>
              <w:jc w:val="left"/>
            </w:pPr>
            <w:r>
              <w:t xml:space="preserve">Mitigate — prequalified contractor, performance bond, monthly cash-flow tracking</w:t>
            </w:r>
          </w:p>
        </w:tc>
      </w:tr>
    </w:tbl>
    <w:p>
      <w:pPr>
        <w:pStyle w:val="Heading2"/>
      </w:pPr>
      <w:bookmarkStart w:id="31" w:name="assumptions"/>
      <w:r>
        <w:t xml:space="preserve">9. Assumptions</w:t>
      </w:r>
      <w:bookmarkEnd w:id="31"/>
    </w:p>
    <w:p>
      <w:pPr>
        <w:numPr>
          <w:ilvl w:val="0"/>
          <w:numId w:val="1006"/>
        </w:numPr>
        <w:pStyle w:val="Compact"/>
      </w:pPr>
      <w:r>
        <w:t xml:space="preserve">Existing plant remains in continuous operation throughout construction.</w:t>
      </w:r>
    </w:p>
    <w:p>
      <w:pPr>
        <w:numPr>
          <w:ilvl w:val="0"/>
          <w:numId w:val="1006"/>
        </w:numPr>
        <w:pStyle w:val="Compact"/>
      </w:pPr>
      <w:r>
        <w:t xml:space="preserve">Permitted shutdown windows align with seasonal flow patterns as historically observed.</w:t>
      </w:r>
    </w:p>
    <w:p>
      <w:pPr>
        <w:numPr>
          <w:ilvl w:val="0"/>
          <w:numId w:val="1006"/>
        </w:numPr>
        <w:pStyle w:val="Compact"/>
      </w:pPr>
      <w:r>
        <w:t xml:space="preserve">Client-supplied grit removal equipment is delivered to site no later than 30 June year+1.</w:t>
      </w:r>
    </w:p>
    <w:p>
      <w:pPr>
        <w:numPr>
          <w:ilvl w:val="0"/>
          <w:numId w:val="1006"/>
        </w:numPr>
        <w:pStyle w:val="Compact"/>
      </w:pPr>
      <w:r>
        <w:t xml:space="preserve">State regulator’s performance test procedure remains as agreed in proposal.</w:t>
      </w:r>
    </w:p>
    <w:p>
      <w:pPr>
        <w:pStyle w:val="Heading2"/>
      </w:pPr>
      <w:bookmarkStart w:id="32" w:name="constraints"/>
      <w:r>
        <w:t xml:space="preserve">10. Constraints</w:t>
      </w:r>
      <w:bookmarkEnd w:id="32"/>
    </w:p>
    <w:p>
      <w:pPr>
        <w:numPr>
          <w:ilvl w:val="0"/>
          <w:numId w:val="1007"/>
        </w:numPr>
        <w:pStyle w:val="Compact"/>
      </w:pPr>
      <w:r>
        <w:t xml:space="preserve">Plant must maintain effluent compliance throughout construction.</w:t>
      </w:r>
    </w:p>
    <w:p>
      <w:pPr>
        <w:numPr>
          <w:ilvl w:val="0"/>
          <w:numId w:val="1007"/>
        </w:numPr>
        <w:pStyle w:val="Compact"/>
      </w:pPr>
      <w:r>
        <w:t xml:space="preserve">Construction noise limited to daytime hours by city ordinance.</w:t>
      </w:r>
    </w:p>
    <w:p>
      <w:pPr>
        <w:numPr>
          <w:ilvl w:val="0"/>
          <w:numId w:val="1007"/>
        </w:numPr>
        <w:pStyle w:val="Compact"/>
      </w:pPr>
      <w:r>
        <w:t xml:space="preserve">State-mandated effluent standard takes effect on 30 March year+2 — no schedule slip possible past this date without permit consequence.</w:t>
      </w:r>
    </w:p>
    <w:p>
      <w:pPr>
        <w:pStyle w:val="Heading2"/>
      </w:pPr>
      <w:bookmarkStart w:id="33" w:name="governance"/>
      <w:r>
        <w:t xml:space="preserve">11. Governance</w:t>
      </w:r>
      <w:bookmarkEnd w:id="33"/>
    </w:p>
    <w:p>
      <w:pPr>
        <w:numPr>
          <w:ilvl w:val="0"/>
          <w:numId w:val="1008"/>
        </w:numPr>
        <w:pStyle w:val="Compact"/>
      </w:pPr>
      <w:r>
        <w:rPr>
          <w:b/>
        </w:rPr>
        <w:t xml:space="preserve">Reporting cadence:</w:t>
      </w:r>
      <w:r>
        <w:t xml:space="preserve"> </w:t>
      </w:r>
      <w:r>
        <w:t xml:space="preserve">weekly internal status, monthly client status, monthly Northwood portfolio dashboard.</w:t>
      </w:r>
    </w:p>
    <w:p>
      <w:pPr>
        <w:numPr>
          <w:ilvl w:val="0"/>
          <w:numId w:val="1008"/>
        </w:numPr>
        <w:pStyle w:val="Compact"/>
      </w:pPr>
      <w:r>
        <w:rPr>
          <w:b/>
        </w:rPr>
        <w:t xml:space="preserve">Decision rights:</w:t>
      </w:r>
      <w:r>
        <w:t xml:space="preserve"> </w:t>
      </w:r>
      <w:r>
        <w:t xml:space="preserve">PM up to $50k variation; Director up to $500k; Sponsor above.</w:t>
      </w:r>
    </w:p>
    <w:p>
      <w:pPr>
        <w:numPr>
          <w:ilvl w:val="0"/>
          <w:numId w:val="1008"/>
        </w:numPr>
        <w:pStyle w:val="Compact"/>
      </w:pPr>
      <w:r>
        <w:rPr>
          <w:b/>
        </w:rPr>
        <w:t xml:space="preserve">Change-order thresholds:</w:t>
      </w:r>
      <w:r>
        <w:t xml:space="preserve"> </w:t>
      </w:r>
      <w:r>
        <w:t xml:space="preserve">all client-driven changes through formal change-order process; internal-only changes documented in PM log.</w:t>
      </w:r>
    </w:p>
    <w:p>
      <w:pPr>
        <w:numPr>
          <w:ilvl w:val="0"/>
          <w:numId w:val="1008"/>
        </w:numPr>
        <w:pStyle w:val="Compact"/>
      </w:pPr>
      <w:r>
        <w:rPr>
          <w:b/>
        </w:rPr>
        <w:t xml:space="preserve">Escalation path:</w:t>
      </w:r>
      <w:r>
        <w:t xml:space="preserve"> </w:t>
      </w:r>
      <w:r>
        <w:t xml:space="preserve">PM → Director → Sponsor → CFO (only if value impact &gt; $1M).</w:t>
      </w:r>
    </w:p>
    <w:p>
      <w:pPr>
        <w:pStyle w:val="Heading2"/>
      </w:pPr>
      <w:bookmarkStart w:id="34" w:name="approval"/>
      <w:r>
        <w:t xml:space="preserve">12. Approval</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Signature</w:t>
            </w:r>
          </w:p>
        </w:tc>
        <w:tc>
          <w:tcPr>
            <w:tcBorders>
              <w:bottom w:val="single"/>
            </w:tcBorders>
            <w:vAlign w:val="bottom"/>
          </w:tcPr>
          <w:p>
            <w:pPr>
              <w:pStyle w:val="Compact"/>
              <w:jc w:val="left"/>
            </w:pPr>
            <w:r>
              <w:t xml:space="preserve">Date</w:t>
            </w:r>
          </w:p>
        </w:tc>
      </w:tr>
      <w:tr>
        <w:tc>
          <w:p>
            <w:pPr>
              <w:pStyle w:val="Compact"/>
              <w:jc w:val="left"/>
            </w:pPr>
            <w:r>
              <w:t xml:space="preserve">Sponsor</w:t>
            </w:r>
          </w:p>
        </w:tc>
        <w:tc>
          <w:p>
            <w:pPr>
              <w:pStyle w:val="Compact"/>
              <w:jc w:val="left"/>
            </w:pPr>
            <w:r>
              <w:t xml:space="preserve">VP Water &amp; Wastewater</w:t>
            </w:r>
          </w:p>
        </w:tc>
        <w:tc>
          <w:p>
            <w:pPr>
              <w:pStyle w:val="Compact"/>
              <w:jc w:val="left"/>
            </w:pPr>
            <w:r>
              <w:t xml:space="preserve">(signed)</w:t>
            </w:r>
          </w:p>
        </w:tc>
        <w:tc>
          <w:p>
            <w:pPr>
              <w:pStyle w:val="Compact"/>
              <w:jc w:val="left"/>
            </w:pPr>
            <w:r>
              <w:t xml:space="preserve">8 March</w:t>
            </w:r>
          </w:p>
        </w:tc>
      </w:tr>
      <w:tr>
        <w:tc>
          <w:p>
            <w:pPr>
              <w:pStyle w:val="Compact"/>
              <w:jc w:val="left"/>
            </w:pPr>
            <w:r>
              <w:t xml:space="preserve">Project Director</w:t>
            </w:r>
          </w:p>
        </w:tc>
        <w:tc>
          <w:p>
            <w:pPr>
              <w:pStyle w:val="Compact"/>
              <w:jc w:val="left"/>
            </w:pPr>
            <w:r>
              <w:t xml:space="preserve">R. Tannehill</w:t>
            </w:r>
          </w:p>
        </w:tc>
        <w:tc>
          <w:p>
            <w:pPr>
              <w:pStyle w:val="Compact"/>
              <w:jc w:val="left"/>
            </w:pPr>
            <w:r>
              <w:t xml:space="preserve">(signed)</w:t>
            </w:r>
          </w:p>
        </w:tc>
        <w:tc>
          <w:p>
            <w:pPr>
              <w:pStyle w:val="Compact"/>
              <w:jc w:val="left"/>
            </w:pPr>
            <w:r>
              <w:t xml:space="preserve">8 March</w:t>
            </w:r>
          </w:p>
        </w:tc>
      </w:tr>
      <w:tr>
        <w:tc>
          <w:p>
            <w:pPr>
              <w:pStyle w:val="Compact"/>
              <w:jc w:val="left"/>
            </w:pPr>
            <w:r>
              <w:t xml:space="preserve">Project Manager</w:t>
            </w:r>
          </w:p>
        </w:tc>
        <w:tc>
          <w:p>
            <w:pPr>
              <w:pStyle w:val="Compact"/>
              <w:jc w:val="left"/>
            </w:pPr>
            <w:r>
              <w:t xml:space="preserve">M. Acharya</w:t>
            </w:r>
          </w:p>
        </w:tc>
        <w:tc>
          <w:p>
            <w:pPr>
              <w:pStyle w:val="Compact"/>
              <w:jc w:val="left"/>
            </w:pPr>
            <w:r>
              <w:t xml:space="preserve">(signed)</w:t>
            </w:r>
          </w:p>
        </w:tc>
        <w:tc>
          <w:p>
            <w:pPr>
              <w:pStyle w:val="Compact"/>
              <w:jc w:val="left"/>
            </w:pPr>
            <w:r>
              <w:t xml:space="preserve">10 March</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2026-05-18T20:06:32Z</dcterms:created>
  <dcterms:modified xsi:type="dcterms:W3CDTF">2026-05-18T20:06:32Z</dcterms:modified>
</cp:coreProperties>
</file>

<file path=docProps/custom.xml><?xml version="1.0" encoding="utf-8"?>
<Properties xmlns="http://schemas.openxmlformats.org/officeDocument/2006/custom-properties" xmlns:vt="http://schemas.openxmlformats.org/officeDocument/2006/docPropsVTypes"/>
</file>