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2fefe4e959f628bf9c1fb44de456ab8df8c0bb"/>
      <w:r>
        <w:t xml:space="preserve">Project Communications Plan — Riverside Water Reclamation Phase 2 Expansion</w:t>
      </w:r>
      <w:bookmarkEnd w:id="20"/>
    </w:p>
    <w:p>
      <w:pPr>
        <w:pStyle w:val="BlockText"/>
      </w:pPr>
      <w:r>
        <w:rPr>
          <w:b/>
        </w:rPr>
        <w:t xml:space="preserve">Note on this document’s role as a worked example.</w:t>
      </w:r>
      <w:r>
        <w:t xml:space="preserve"> </w:t>
      </w:r>
      <w:r>
        <w:t xml:space="preserve">This is the COMMITTED Project Communications Plan for Riverside Water as it stood at the end of the Planning phase (twelve weeks after charter approval), and as it was operated through the project including one process-upset incident in Month 14. When the Communications Planner agent uses this as a worked example for a new project’s communications plan, items shown with inline italic annotations — owner assignments not yet committed in the charter, cadences not directly stated in charter §11 governance, and crisis-trigger thresholds inferred from Northwood standard practice — should appear at the draft stage as</w:t>
      </w:r>
      <w:r>
        <w:t xml:space="preserve"> </w:t>
      </w:r>
      <w:r>
        <w:rPr>
          <w:rStyle w:val="VerbatimChar"/>
        </w:rPr>
        <w:t xml:space="preserve">[NEEDS PM REVIEW: &lt;value&gt;]</w:t>
      </w:r>
      <w:r>
        <w:t xml:space="preserve"> </w:t>
      </w:r>
      <w:r>
        <w:t xml:space="preserve">rather than as the resolved values shown here. The final values shown reflect what the Northwood PM and Sponsor committed during the Planning sequence and confirmed during execution.</w:t>
      </w:r>
    </w:p>
    <w:p>
      <w:pPr>
        <w:pStyle w:val="Heading2"/>
      </w:pPr>
      <w:bookmarkStart w:id="21" w:name="project-context"/>
      <w:r>
        <w:t xml:space="preserve">1. Project context</w:t>
      </w:r>
      <w:bookmarkEnd w:id="21"/>
    </w:p>
    <w:p>
      <w:pPr>
        <w:numPr>
          <w:ilvl w:val="0"/>
          <w:numId w:val="1001"/>
        </w:numPr>
        <w:pStyle w:val="Compact"/>
      </w:pPr>
      <w:r>
        <w:rPr>
          <w:b/>
        </w:rPr>
        <w:t xml:space="preserve">Project:</w:t>
      </w:r>
      <w:r>
        <w:t xml:space="preserve"> </w:t>
      </w:r>
      <w:r>
        <w:t xml:space="preserve">Riverside Water Reclamation Phase 2 Expansion (NW-WW-2103)</w:t>
      </w:r>
    </w:p>
    <w:p>
      <w:pPr>
        <w:numPr>
          <w:ilvl w:val="0"/>
          <w:numId w:val="1001"/>
        </w:numPr>
        <w:pStyle w:val="Compact"/>
      </w:pPr>
      <w:r>
        <w:rPr>
          <w:b/>
        </w:rPr>
        <w:t xml:space="preserve">Client:</w:t>
      </w:r>
      <w:r>
        <w:t xml:space="preserve"> </w:t>
      </w:r>
      <w:r>
        <w:t xml:space="preserve">City of Riverside Public Works Department</w:t>
      </w:r>
    </w:p>
    <w:p>
      <w:pPr>
        <w:numPr>
          <w:ilvl w:val="0"/>
          <w:numId w:val="1001"/>
        </w:numPr>
        <w:pStyle w:val="Compact"/>
      </w:pPr>
      <w:r>
        <w:rPr>
          <w:b/>
        </w:rPr>
        <w:t xml:space="preserve">Contract:</w:t>
      </w:r>
      <w:r>
        <w:t xml:space="preserve"> </w:t>
      </w:r>
      <w:r>
        <w:t xml:space="preserve">Fixed-price, $42.0M</w:t>
      </w:r>
    </w:p>
    <w:p>
      <w:pPr>
        <w:numPr>
          <w:ilvl w:val="0"/>
          <w:numId w:val="1001"/>
        </w:numPr>
        <w:pStyle w:val="Compact"/>
      </w:pPr>
      <w:r>
        <w:rPr>
          <w:b/>
        </w:rPr>
        <w:t xml:space="preserve">Duration:</w:t>
      </w:r>
      <w:r>
        <w:t xml:space="preserve"> </w:t>
      </w:r>
      <w:r>
        <w:t xml:space="preserve">22 months Award (12 March) → Substantial Completion (30 January year+2)</w:t>
      </w:r>
    </w:p>
    <w:p>
      <w:pPr>
        <w:numPr>
          <w:ilvl w:val="0"/>
          <w:numId w:val="1001"/>
        </w:numPr>
        <w:pStyle w:val="Compact"/>
      </w:pPr>
      <w:r>
        <w:rPr>
          <w:b/>
        </w:rPr>
        <w:t xml:space="preserve">Northwood PM:</w:t>
      </w:r>
      <w:r>
        <w:t xml:space="preserve"> </w:t>
      </w:r>
      <w:r>
        <w:t xml:space="preserve">M. Acharya</w:t>
      </w:r>
    </w:p>
    <w:p>
      <w:pPr>
        <w:numPr>
          <w:ilvl w:val="0"/>
          <w:numId w:val="1001"/>
        </w:numPr>
        <w:pStyle w:val="Compact"/>
      </w:pPr>
      <w:r>
        <w:rPr>
          <w:b/>
        </w:rPr>
        <w:t xml:space="preserve">Communications-plan baseline date:</w:t>
      </w:r>
      <w:r>
        <w:t xml:space="preserve"> </w:t>
      </w:r>
      <w:r>
        <w:t xml:space="preserve">Week 12 post-charter, post-stakeholder-register approval</w:t>
      </w:r>
    </w:p>
    <w:p>
      <w:pPr>
        <w:numPr>
          <w:ilvl w:val="0"/>
          <w:numId w:val="1001"/>
        </w:numPr>
        <w:pStyle w:val="Compact"/>
      </w:pPr>
      <w:r>
        <w:rPr>
          <w:b/>
        </w:rPr>
        <w:t xml:space="preserve">Stakeholder register reference:</w:t>
      </w:r>
      <w:r>
        <w:t xml:space="preserve"> </w:t>
      </w:r>
      <w:r>
        <w:t xml:space="preserve">see</w:t>
      </w:r>
      <w:r>
        <w:t xml:space="preserve"> </w:t>
      </w:r>
      <w:r>
        <w:rPr>
          <w:rStyle w:val="VerbatimChar"/>
        </w:rPr>
        <w:t xml:space="preserve">01b_stakeholder_register.md</w:t>
      </w:r>
      <w:r>
        <w:t xml:space="preserve"> </w:t>
      </w:r>
      <w:r>
        <w:t xml:space="preserve">for the audience inventory and engagement strategies that this plan operationalises</w:t>
      </w:r>
    </w:p>
    <w:p>
      <w:pPr>
        <w:pStyle w:val="Heading2"/>
      </w:pPr>
      <w:bookmarkStart w:id="22" w:name="communications-matrix"/>
      <w:r>
        <w:t xml:space="preserve">2. Communications matrix</w:t>
      </w:r>
      <w:bookmarkEnd w:id="22"/>
    </w:p>
    <w:p>
      <w:pPr>
        <w:pStyle w:val="FirstParagraph"/>
      </w:pPr>
      <w:r>
        <w:t xml:space="preserve">The matrix below operationalises the engagement strategies from the Stakeholder Register (§2). Each row corresponds to a stakeholder or audience segment from the register; the columns show what is communicated, how, when, and by whom on the Northwood side.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Audience (per register)</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Message theme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Standing or triggered?</w:t>
            </w:r>
          </w:p>
        </w:tc>
      </w:tr>
      <w:tr>
        <w:tc>
          <w:p>
            <w:pPr>
              <w:pStyle w:val="Compact"/>
              <w:jc w:val="left"/>
            </w:pPr>
            <w:r>
              <w:t xml:space="preserve">Sponsor (VP W&amp;WW)</w:t>
            </w:r>
          </w:p>
        </w:tc>
        <w:tc>
          <w:p>
            <w:pPr>
              <w:pStyle w:val="Compact"/>
              <w:jc w:val="left"/>
            </w:pPr>
            <w:r>
              <w:t xml:space="preserve">Monthly steering meeting + email summary</w:t>
            </w:r>
          </w:p>
        </w:tc>
        <w:tc>
          <w:p>
            <w:pPr>
              <w:pStyle w:val="Compact"/>
              <w:jc w:val="left"/>
            </w:pPr>
            <w:r>
              <w:t xml:space="preserve">Monthly</w:t>
            </w:r>
          </w:p>
        </w:tc>
        <w:tc>
          <w:p>
            <w:pPr>
              <w:pStyle w:val="Compact"/>
              <w:jc w:val="left"/>
            </w:pPr>
            <w:r>
              <w:t xml:space="preserve">Portfolio commercial outcome, escalations, follow-on Phase 3 prospect</w:t>
            </w:r>
          </w:p>
        </w:tc>
        <w:tc>
          <w:p>
            <w:pPr>
              <w:pStyle w:val="Compact"/>
              <w:jc w:val="left"/>
            </w:pPr>
            <w:r>
              <w:t xml:space="preserve">Project Director</w:t>
            </w:r>
          </w:p>
        </w:tc>
        <w:tc>
          <w:p>
            <w:pPr>
              <w:pStyle w:val="Compact"/>
              <w:jc w:val="left"/>
            </w:pPr>
            <w:r>
              <w:t xml:space="preserve">Standing</w:t>
            </w:r>
          </w:p>
        </w:tc>
      </w:tr>
      <w:tr>
        <w:tc>
          <w:p>
            <w:pPr>
              <w:pStyle w:val="Compact"/>
              <w:jc w:val="left"/>
            </w:pPr>
            <w:r>
              <w:t xml:space="preserve">Project Director (R. Tannehill)</w:t>
            </w:r>
          </w:p>
        </w:tc>
        <w:tc>
          <w:p>
            <w:pPr>
              <w:pStyle w:val="Compact"/>
              <w:jc w:val="left"/>
            </w:pPr>
            <w:r>
              <w:t xml:space="preserve">Weekly internal status meeting + escalation calls</w:t>
            </w:r>
          </w:p>
        </w:tc>
        <w:tc>
          <w:p>
            <w:pPr>
              <w:pStyle w:val="Compact"/>
              <w:jc w:val="left"/>
            </w:pPr>
            <w:r>
              <w:t xml:space="preserve">Weekly + ad-hoc</w:t>
            </w:r>
          </w:p>
        </w:tc>
        <w:tc>
          <w:p>
            <w:pPr>
              <w:pStyle w:val="Compact"/>
              <w:jc w:val="left"/>
            </w:pPr>
            <w:r>
              <w:t xml:space="preserve">Margin protection, schedule integrity, escalations</w:t>
            </w:r>
          </w:p>
        </w:tc>
        <w:tc>
          <w:p>
            <w:pPr>
              <w:pStyle w:val="Compact"/>
              <w:jc w:val="left"/>
            </w:pPr>
            <w:r>
              <w:t xml:space="preserve">PM</w:t>
            </w:r>
          </w:p>
        </w:tc>
        <w:tc>
          <w:p>
            <w:pPr>
              <w:pStyle w:val="Compact"/>
              <w:jc w:val="left"/>
            </w:pPr>
            <w:r>
              <w:t xml:space="preserve">Standing</w:t>
            </w:r>
          </w:p>
        </w:tc>
      </w:tr>
      <w:tr>
        <w:tc>
          <w:p>
            <w:pPr>
              <w:pStyle w:val="Compact"/>
              <w:jc w:val="left"/>
            </w:pPr>
            <w:r>
              <w:t xml:space="preserve">Client PM (D. Hoffmann)</w:t>
            </w:r>
          </w:p>
        </w:tc>
        <w:tc>
          <w:p>
            <w:pPr>
              <w:pStyle w:val="Compact"/>
              <w:jc w:val="left"/>
            </w:pPr>
            <w:r>
              <w:t xml:space="preserve">Monthly written status report; weekly informal voice call; biweekly site walks (post-mobilisation)</w:t>
            </w:r>
          </w:p>
        </w:tc>
        <w:tc>
          <w:p>
            <w:pPr>
              <w:pStyle w:val="Compact"/>
              <w:jc w:val="left"/>
            </w:pPr>
            <w:r>
              <w:t xml:space="preserve">Monthly written, weekly voice, biweekly walks</w:t>
            </w:r>
          </w:p>
        </w:tc>
        <w:tc>
          <w:p>
            <w:pPr>
              <w:pStyle w:val="Compact"/>
              <w:jc w:val="left"/>
            </w:pPr>
            <w:r>
              <w:t xml:space="preserve">Delivery confidence, risk transparency, schedule-to-baseline variance</w:t>
            </w:r>
          </w:p>
        </w:tc>
        <w:tc>
          <w:p>
            <w:pPr>
              <w:pStyle w:val="Compact"/>
              <w:jc w:val="left"/>
            </w:pPr>
            <w:r>
              <w:t xml:space="preserve">PM</w:t>
            </w:r>
          </w:p>
        </w:tc>
        <w:tc>
          <w:p>
            <w:pPr>
              <w:pStyle w:val="Compact"/>
              <w:jc w:val="left"/>
            </w:pPr>
            <w:r>
              <w:t xml:space="preserve">Standing</w:t>
            </w:r>
          </w:p>
        </w:tc>
      </w:tr>
      <w:tr>
        <w:tc>
          <w:p>
            <w:pPr>
              <w:pStyle w:val="Compact"/>
              <w:jc w:val="left"/>
            </w:pPr>
            <w:r>
              <w:t xml:space="preserve">Plant Superintendent (K. Velasquez)</w:t>
            </w:r>
          </w:p>
        </w:tc>
        <w:tc>
          <w:p>
            <w:pPr>
              <w:pStyle w:val="Compact"/>
              <w:jc w:val="left"/>
            </w:pPr>
            <w:r>
              <w:t xml:space="preserve">Weekly coordination meeting; daily call during shutdown windows; ad-hoc on operational impact events</w:t>
            </w:r>
          </w:p>
        </w:tc>
        <w:tc>
          <w:p>
            <w:pPr>
              <w:pStyle w:val="Compact"/>
              <w:jc w:val="left"/>
            </w:pPr>
            <w:r>
              <w:t xml:space="preserve">Weekly + ad-hoc</w:t>
            </w:r>
          </w:p>
        </w:tc>
        <w:tc>
          <w:p>
            <w:pPr>
              <w:pStyle w:val="Compact"/>
              <w:jc w:val="left"/>
            </w:pPr>
            <w:r>
              <w:t xml:space="preserve">Operations continuity, shutdown-window coordination, operator training, permit-threshold awareness</w:t>
            </w:r>
          </w:p>
        </w:tc>
        <w:tc>
          <w:p>
            <w:pPr>
              <w:pStyle w:val="Compact"/>
              <w:jc w:val="left"/>
            </w:pPr>
            <w:r>
              <w:t xml:space="preserve">Construction Manager</w:t>
            </w:r>
          </w:p>
        </w:tc>
        <w:tc>
          <w:p>
            <w:pPr>
              <w:pStyle w:val="Compact"/>
              <w:jc w:val="left"/>
            </w:pPr>
            <w:r>
              <w:t xml:space="preserve">Standing</w:t>
            </w:r>
          </w:p>
        </w:tc>
      </w:tr>
      <w:tr>
        <w:tc>
          <w:p>
            <w:pPr>
              <w:pStyle w:val="Compact"/>
              <w:jc w:val="left"/>
            </w:pPr>
            <w:r>
              <w:t xml:space="preserve">Public Works Director (E. Marsh)</w:t>
            </w:r>
          </w:p>
        </w:tc>
        <w:tc>
          <w:p>
            <w:pPr>
              <w:pStyle w:val="Compact"/>
              <w:jc w:val="left"/>
            </w:pPr>
            <w:r>
              <w:t xml:space="preserve">Quarterly direct briefing; written summary after each council session</w:t>
            </w:r>
          </w:p>
        </w:tc>
        <w:tc>
          <w:p>
            <w:pPr>
              <w:pStyle w:val="Compact"/>
              <w:jc w:val="left"/>
            </w:pPr>
            <w:r>
              <w:t xml:space="preserve">Quarterly + triggered</w:t>
            </w:r>
          </w:p>
        </w:tc>
        <w:tc>
          <w:p>
            <w:pPr>
              <w:pStyle w:val="Compact"/>
              <w:jc w:val="left"/>
            </w:pPr>
            <w:r>
              <w:t xml:space="preserve">Political accountability, ratepayer impact, schedule-to-deadline (state-mandated effluent standard)</w:t>
            </w:r>
          </w:p>
        </w:tc>
        <w:tc>
          <w:p>
            <w:pPr>
              <w:pStyle w:val="Compact"/>
              <w:jc w:val="left"/>
            </w:pPr>
            <w:r>
              <w:t xml:space="preserve">Project Director</w:t>
            </w:r>
          </w:p>
        </w:tc>
        <w:tc>
          <w:p>
            <w:pPr>
              <w:pStyle w:val="Compact"/>
              <w:jc w:val="left"/>
            </w:pPr>
            <w:r>
              <w:t xml:space="preserve">Standing</w:t>
            </w:r>
          </w:p>
        </w:tc>
      </w:tr>
      <w:tr>
        <w:tc>
          <w:p>
            <w:pPr>
              <w:pStyle w:val="Compact"/>
              <w:jc w:val="left"/>
            </w:pPr>
            <w:r>
              <w:t xml:space="preserve">City Council (collective)</w:t>
            </w:r>
          </w:p>
        </w:tc>
        <w:tc>
          <w:p>
            <w:pPr>
              <w:pStyle w:val="Compact"/>
              <w:jc w:val="left"/>
            </w:pPr>
            <w:r>
              <w:t xml:space="preserve">Briefing through Public Works Director ahead of any council session that may discuss the project; written summary on request</w:t>
            </w:r>
          </w:p>
        </w:tc>
        <w:tc>
          <w:p>
            <w:pPr>
              <w:pStyle w:val="Compact"/>
              <w:jc w:val="left"/>
            </w:pPr>
            <w:r>
              <w:t xml:space="preserve">Triggered (council-driven)</w:t>
            </w:r>
          </w:p>
        </w:tc>
        <w:tc>
          <w:p>
            <w:pPr>
              <w:pStyle w:val="Compact"/>
              <w:jc w:val="left"/>
            </w:pPr>
            <w:r>
              <w:t xml:space="preserve">Budget, ratepayer impact, schedule, environmental compliance</w:t>
            </w:r>
          </w:p>
        </w:tc>
        <w:tc>
          <w:p>
            <w:pPr>
              <w:pStyle w:val="Compact"/>
              <w:jc w:val="left"/>
            </w:pPr>
            <w:r>
              <w:t xml:space="preserve">Sponsor (via Project Director)</w:t>
            </w:r>
          </w:p>
        </w:tc>
        <w:tc>
          <w:p>
            <w:pPr>
              <w:pStyle w:val="Compact"/>
              <w:jc w:val="left"/>
            </w:pPr>
            <w:r>
              <w:t xml:space="preserve">Triggered</w:t>
            </w:r>
          </w:p>
        </w:tc>
      </w:tr>
      <w:tr>
        <w:tc>
          <w:p>
            <w:pPr>
              <w:pStyle w:val="Compact"/>
              <w:jc w:val="left"/>
            </w:pPr>
            <w:r>
              <w:t xml:space="preserve">State Environmental Agency — assigned engineer</w:t>
            </w:r>
          </w:p>
        </w:tc>
        <w:tc>
          <w:p>
            <w:pPr>
              <w:pStyle w:val="Compact"/>
              <w:jc w:val="left"/>
            </w:pPr>
            <w:r>
              <w:t xml:space="preserve">Monthly compliance call; formal permit submissions on permit schedule</w:t>
            </w:r>
          </w:p>
        </w:tc>
        <w:tc>
          <w:p>
            <w:pPr>
              <w:pStyle w:val="Compact"/>
              <w:jc w:val="left"/>
            </w:pPr>
            <w:r>
              <w:t xml:space="preserve">Monthly + permit-schedule</w:t>
            </w:r>
          </w:p>
        </w:tc>
        <w:tc>
          <w:p>
            <w:pPr>
              <w:pStyle w:val="Compact"/>
              <w:jc w:val="left"/>
            </w:pPr>
            <w:r>
              <w:t xml:space="preserve">Permit compliance, effluent test results, construction-period environmental controls, performance-test pre-conditions</w:t>
            </w:r>
          </w:p>
        </w:tc>
        <w:tc>
          <w:p>
            <w:pPr>
              <w:pStyle w:val="Compact"/>
              <w:jc w:val="left"/>
            </w:pPr>
            <w:r>
              <w:t xml:space="preserve">PM with QA/QC Lead support</w:t>
            </w:r>
          </w:p>
        </w:tc>
        <w:tc>
          <w:p>
            <w:pPr>
              <w:pStyle w:val="Compact"/>
              <w:jc w:val="left"/>
            </w:pPr>
            <w:r>
              <w:t xml:space="preserve">Standing</w:t>
            </w:r>
          </w:p>
        </w:tc>
      </w:tr>
      <w:tr>
        <w:tc>
          <w:p>
            <w:pPr>
              <w:pStyle w:val="Compact"/>
              <w:jc w:val="left"/>
            </w:pPr>
            <w:r>
              <w:t xml:space="preserve">EPA Region office</w:t>
            </w:r>
          </w:p>
        </w:tc>
        <w:tc>
          <w:p>
            <w:pPr>
              <w:pStyle w:val="Compact"/>
              <w:jc w:val="left"/>
            </w:pPr>
            <w:r>
              <w:t xml:space="preserve">None proactive; notification only on regulatory escalation</w:t>
            </w:r>
          </w:p>
        </w:tc>
        <w:tc>
          <w:p>
            <w:pPr>
              <w:pStyle w:val="Compact"/>
              <w:jc w:val="left"/>
            </w:pPr>
            <w:r>
              <w:t xml:space="preserve">Triggered only</w:t>
            </w:r>
          </w:p>
        </w:tc>
        <w:tc>
          <w:p>
            <w:pPr>
              <w:pStyle w:val="Compact"/>
              <w:jc w:val="left"/>
            </w:pPr>
            <w:r>
              <w:t xml:space="preserve">(None until escalation)</w:t>
            </w:r>
          </w:p>
        </w:tc>
        <w:tc>
          <w:p>
            <w:pPr>
              <w:pStyle w:val="Compact"/>
              <w:jc w:val="left"/>
            </w:pPr>
            <w:r>
              <w:t xml:space="preserve">Sponsor</w:t>
            </w:r>
          </w:p>
        </w:tc>
        <w:tc>
          <w:p>
            <w:pPr>
              <w:pStyle w:val="Compact"/>
              <w:jc w:val="left"/>
            </w:pPr>
            <w:r>
              <w:t xml:space="preserve">Triggered</w:t>
            </w:r>
          </w:p>
        </w:tc>
      </w:tr>
      <w:tr>
        <w:tc>
          <w:p>
            <w:pPr>
              <w:pStyle w:val="Compact"/>
              <w:jc w:val="left"/>
            </w:pPr>
            <w:r>
              <w:t xml:space="preserve">Blower vendor — account lead</w:t>
            </w:r>
          </w:p>
        </w:tc>
        <w:tc>
          <w:p>
            <w:pPr>
              <w:pStyle w:val="Compact"/>
              <w:jc w:val="left"/>
            </w:pPr>
            <w:r>
              <w:t xml:space="preserve">Weekly call from Week -20 of needed delivery; on-site expediter Week -8 onward</w:t>
            </w:r>
          </w:p>
        </w:tc>
        <w:tc>
          <w:p>
            <w:pPr>
              <w:pStyle w:val="Compact"/>
              <w:jc w:val="left"/>
            </w:pPr>
            <w:r>
              <w:t xml:space="preserve">Weekly + ad-hoc</w:t>
            </w:r>
          </w:p>
        </w:tc>
        <w:tc>
          <w:p>
            <w:pPr>
              <w:pStyle w:val="Compact"/>
              <w:jc w:val="left"/>
            </w:pPr>
            <w:r>
              <w:t xml:space="preserve">Order book, schedule, payment terms, FAT results</w:t>
            </w:r>
          </w:p>
        </w:tc>
        <w:tc>
          <w:p>
            <w:pPr>
              <w:pStyle w:val="Compact"/>
              <w:jc w:val="left"/>
            </w:pPr>
            <w:r>
              <w:t xml:space="preserve">PM</w:t>
            </w:r>
          </w:p>
        </w:tc>
        <w:tc>
          <w:p>
            <w:pPr>
              <w:pStyle w:val="Compact"/>
              <w:jc w:val="left"/>
            </w:pPr>
            <w:r>
              <w:t xml:space="preserve">Standing</w:t>
            </w:r>
          </w:p>
        </w:tc>
      </w:tr>
      <w:tr>
        <w:tc>
          <w:p>
            <w:pPr>
              <w:pStyle w:val="Compact"/>
              <w:jc w:val="left"/>
            </w:pPr>
            <w:r>
              <w:t xml:space="preserve">Civil works subcontractor — site superintendent</w:t>
            </w:r>
          </w:p>
        </w:tc>
        <w:tc>
          <w:p>
            <w:pPr>
              <w:pStyle w:val="Compact"/>
              <w:jc w:val="left"/>
            </w:pPr>
            <w:r>
              <w:t xml:space="preserve">Daily on site once mobilised; weekly performance review with PM</w:t>
            </w:r>
          </w:p>
        </w:tc>
        <w:tc>
          <w:p>
            <w:pPr>
              <w:pStyle w:val="Compact"/>
              <w:jc w:val="left"/>
            </w:pPr>
            <w:r>
              <w:t xml:space="preserve">Daily + weekly</w:t>
            </w:r>
          </w:p>
        </w:tc>
        <w:tc>
          <w:p>
            <w:pPr>
              <w:pStyle w:val="Compact"/>
              <w:jc w:val="left"/>
            </w:pPr>
            <w:r>
              <w:t xml:space="preserve">Productivity, safety, payment, schedule</w:t>
            </w:r>
          </w:p>
        </w:tc>
        <w:tc>
          <w:p>
            <w:pPr>
              <w:pStyle w:val="Compact"/>
              <w:jc w:val="left"/>
            </w:pPr>
            <w:r>
              <w:t xml:space="preserve">Construction Manager</w:t>
            </w:r>
          </w:p>
        </w:tc>
        <w:tc>
          <w:p>
            <w:pPr>
              <w:pStyle w:val="Compact"/>
              <w:jc w:val="left"/>
            </w:pPr>
            <w:r>
              <w:t xml:space="preserve">Standing</w:t>
            </w:r>
          </w:p>
        </w:tc>
      </w:tr>
      <w:tr>
        <w:tc>
          <w:p>
            <w:pPr>
              <w:pStyle w:val="Compact"/>
              <w:jc w:val="left"/>
            </w:pPr>
            <w:r>
              <w:t xml:space="preserve">Adjacent residential neighbourhood association</w:t>
            </w:r>
          </w:p>
        </w:tc>
        <w:tc>
          <w:p>
            <w:pPr>
              <w:pStyle w:val="Compact"/>
              <w:jc w:val="left"/>
            </w:pPr>
            <w:r>
              <w:t xml:space="preserve">Quarterly community newsletter via City PIO; ad-hoc 48-hour complaint response</w:t>
            </w:r>
          </w:p>
        </w:tc>
        <w:tc>
          <w:p>
            <w:pPr>
              <w:pStyle w:val="Compact"/>
              <w:jc w:val="left"/>
            </w:pPr>
            <w:r>
              <w:t xml:space="preserve">Quarterly + triggered</w:t>
            </w:r>
          </w:p>
        </w:tc>
        <w:tc>
          <w:p>
            <w:pPr>
              <w:pStyle w:val="Compact"/>
              <w:jc w:val="left"/>
            </w:pPr>
            <w:r>
              <w:t xml:space="preserve">Construction-period disturbance (noise, traffic, dust), schedule transparency</w:t>
            </w:r>
          </w:p>
        </w:tc>
        <w:tc>
          <w:p>
            <w:pPr>
              <w:pStyle w:val="Compact"/>
              <w:jc w:val="left"/>
            </w:pPr>
            <w:r>
              <w:t xml:space="preserve">Client PM with Northwood PM support</w:t>
            </w:r>
          </w:p>
        </w:tc>
        <w:tc>
          <w:p>
            <w:pPr>
              <w:pStyle w:val="Compact"/>
              <w:jc w:val="left"/>
            </w:pPr>
            <w:r>
              <w:t xml:space="preserve">Standing + triggered</w:t>
            </w:r>
          </w:p>
        </w:tc>
      </w:tr>
      <w:tr>
        <w:tc>
          <w:p>
            <w:pPr>
              <w:pStyle w:val="Compact"/>
              <w:jc w:val="left"/>
            </w:pPr>
            <w:r>
              <w:t xml:space="preserve">Downstream river users (collective)</w:t>
            </w:r>
          </w:p>
        </w:tc>
        <w:tc>
          <w:p>
            <w:pPr>
              <w:pStyle w:val="Compact"/>
              <w:jc w:val="left"/>
            </w:pPr>
            <w:r>
              <w:t xml:space="preserve">None proactive; notification only on process upset or permit excursion event</w:t>
            </w:r>
          </w:p>
        </w:tc>
        <w:tc>
          <w:p>
            <w:pPr>
              <w:pStyle w:val="Compact"/>
              <w:jc w:val="left"/>
            </w:pPr>
            <w:r>
              <w:t xml:space="preserve">Triggered only</w:t>
            </w:r>
          </w:p>
        </w:tc>
        <w:tc>
          <w:p>
            <w:pPr>
              <w:pStyle w:val="Compact"/>
              <w:jc w:val="left"/>
            </w:pPr>
            <w:r>
              <w:t xml:space="preserve">(None until incident)</w:t>
            </w:r>
          </w:p>
        </w:tc>
        <w:tc>
          <w:p>
            <w:pPr>
              <w:pStyle w:val="Compact"/>
              <w:jc w:val="left"/>
            </w:pPr>
            <w:r>
              <w:t xml:space="preserve">Sponsor (escalation only)</w:t>
            </w:r>
          </w:p>
        </w:tc>
        <w:tc>
          <w:p>
            <w:pPr>
              <w:pStyle w:val="Compact"/>
              <w:jc w:val="left"/>
            </w:pPr>
            <w:r>
              <w:t xml:space="preserve">Triggered</w:t>
            </w:r>
          </w:p>
        </w:tc>
      </w:tr>
      <w:tr>
        <w:tc>
          <w:p>
            <w:pPr>
              <w:pStyle w:val="Compact"/>
              <w:jc w:val="left"/>
            </w:pPr>
            <w:r>
              <w:t xml:space="preserve">Local press (regional newspaper, regional TV affiliate)</w:t>
            </w:r>
          </w:p>
        </w:tc>
        <w:tc>
          <w:p>
            <w:pPr>
              <w:pStyle w:val="Compact"/>
              <w:jc w:val="left"/>
            </w:pPr>
            <w:r>
              <w:t xml:space="preserve">All enquiries routed to City PIO; Northwood prepares factual background on request</w:t>
            </w:r>
          </w:p>
        </w:tc>
        <w:tc>
          <w:p>
            <w:pPr>
              <w:pStyle w:val="Compact"/>
              <w:jc w:val="left"/>
            </w:pPr>
            <w:r>
              <w:t xml:space="preserve">Triggered (press-driven)</w:t>
            </w:r>
          </w:p>
        </w:tc>
        <w:tc>
          <w:p>
            <w:pPr>
              <w:pStyle w:val="Compact"/>
              <w:jc w:val="left"/>
            </w:pPr>
            <w:r>
              <w:t xml:space="preserve">Factual project information only; no editorial</w:t>
            </w:r>
          </w:p>
        </w:tc>
        <w:tc>
          <w:p>
            <w:pPr>
              <w:pStyle w:val="Compact"/>
              <w:jc w:val="left"/>
            </w:pPr>
            <w:r>
              <w:t xml:space="preserve">Sponsor via Project Director</w:t>
            </w:r>
          </w:p>
        </w:tc>
        <w:tc>
          <w:p>
            <w:pPr>
              <w:pStyle w:val="Compact"/>
              <w:jc w:val="left"/>
            </w:pPr>
            <w:r>
              <w:t xml:space="preserve">Triggered</w:t>
            </w:r>
          </w:p>
        </w:tc>
      </w:tr>
    </w:tbl>
    <w:p>
      <w:pPr>
        <w:pStyle w:val="BodyText"/>
      </w:pPr>
      <w:r>
        <w:t xml:space="preserve">The matrix has 13 rows, matching the 13-active stakeholders in the register plus segmenting the press as a distinct audience even though they sit at the periphery of the register’s</w:t>
      </w:r>
      <w:r>
        <w:t xml:space="preserve"> </w:t>
      </w:r>
      <w:r>
        <w:t xml:space="preserve">“</w:t>
      </w:r>
      <w:r>
        <w:t xml:space="preserve">Keep informed</w:t>
      </w:r>
      <w:r>
        <w:t xml:space="preserve">”</w:t>
      </w:r>
      <w:r>
        <w:t xml:space="preserve"> </w:t>
      </w:r>
      <w:r>
        <w:t xml:space="preserve">quadrant.</w:t>
      </w:r>
    </w:p>
    <w:p>
      <w:pPr>
        <w:pStyle w:val="Heading2"/>
      </w:pPr>
      <w:bookmarkStart w:id="23" w:name="message-templates-by-audience-segment"/>
      <w:r>
        <w:t xml:space="preserve">3. Message templates by audience segment</w:t>
      </w:r>
      <w:bookmarkEnd w:id="23"/>
    </w:p>
    <w:p>
      <w:pPr>
        <w:pStyle w:val="FirstParagraph"/>
      </w:pPr>
      <w:r>
        <w:t xml:space="preserve">Four audience segments organise the message-template inventory: client side, regulators, community and press, internal Northwood. Each segment has a calibrated tone and three to five standing message types.</w:t>
      </w:r>
    </w:p>
    <w:p>
      <w:pPr>
        <w:pStyle w:val="Heading3"/>
      </w:pPr>
      <w:bookmarkStart w:id="24" w:name="X774a9fafe4cd930e86eed4547b1af6f1ed17000"/>
      <w:r>
        <w:t xml:space="preserve">3.1 To the client side (Client PM, Plant Superintendent, Public Works Director, City Council)</w:t>
      </w:r>
      <w:bookmarkEnd w:id="24"/>
    </w:p>
    <w:p>
      <w:pPr>
        <w:pStyle w:val="FirstParagraph"/>
      </w:pPr>
      <w:r>
        <w:rPr>
          <w:b/>
        </w:rPr>
        <w:t xml:space="preserve">Tone:</w:t>
      </w:r>
      <w:r>
        <w:t xml:space="preserve"> </w:t>
      </w:r>
      <w:r>
        <w:rPr>
          <w:i/>
        </w:rPr>
        <w:t xml:space="preserve">delivery confidence with disciplined honesty about risk</w:t>
      </w:r>
      <w:r>
        <w:t xml:space="preserve">. Northwood is the technical lead; the client retains political and operational ownership. The message acknowledges both.</w:t>
      </w:r>
    </w:p>
    <w:p>
      <w:pPr>
        <w:pStyle w:val="BodyText"/>
      </w:pPr>
      <w:r>
        <w:rPr>
          <w:b/>
        </w:rPr>
        <w:t xml:space="preserve">Standing message types:</w:t>
      </w:r>
    </w:p>
    <w:p>
      <w:pPr>
        <w:numPr>
          <w:ilvl w:val="0"/>
          <w:numId w:val="1002"/>
        </w:numPr>
        <w:pStyle w:val="Compact"/>
      </w:pPr>
      <w:r>
        <w:rPr>
          <w:b/>
        </w:rPr>
        <w:t xml:space="preserve">Monthly written status report to D. Hoffmann.</w:t>
      </w:r>
      <w:r>
        <w:t xml:space="preserve"> </w:t>
      </w:r>
      <w:r>
        <w:t xml:space="preserve">Two-page format. Schedule status against milestones (charter §6), cost status against approved budget (no branch-level disclosure), risks updated since last report, decisions needed from client, next-period plan. Sign-off: PM.</w:t>
      </w:r>
      <w:r>
        <w:t xml:space="preserve"> </w:t>
      </w:r>
      <w:r>
        <w:rPr>
          <w:i/>
        </w:rPr>
        <w:t xml:space="preserve">(at draft stage [NEEDS PM REVIEW: confirm with client whether two-page format is acceptable or longer is preferred]; two-page format confirmed at Week 4)</w:t>
      </w:r>
    </w:p>
    <w:p>
      <w:pPr>
        <w:numPr>
          <w:ilvl w:val="0"/>
          <w:numId w:val="1002"/>
        </w:numPr>
        <w:pStyle w:val="Compact"/>
      </w:pPr>
      <w:r>
        <w:rPr>
          <w:b/>
        </w:rPr>
        <w:t xml:space="preserve">Weekly informal voice call with D. Hoffmann.</w:t>
      </w:r>
      <w:r>
        <w:t xml:space="preserve"> </w:t>
      </w:r>
      <w:r>
        <w:t xml:space="preserve">No agenda. Used to surface emerging issues before they become formal. 20–30 minutes.</w:t>
      </w:r>
    </w:p>
    <w:p>
      <w:pPr>
        <w:numPr>
          <w:ilvl w:val="0"/>
          <w:numId w:val="1002"/>
        </w:numPr>
        <w:pStyle w:val="Compact"/>
      </w:pPr>
      <w:r>
        <w:rPr>
          <w:b/>
        </w:rPr>
        <w:t xml:space="preserve">Biweekly site walk with D. Hoffmann and Construction Manager.</w:t>
      </w:r>
      <w:r>
        <w:t xml:space="preserve"> </w:t>
      </w:r>
      <w:r>
        <w:t xml:space="preserve">Visual progress, safety observations, items needing client decision.</w:t>
      </w:r>
    </w:p>
    <w:p>
      <w:pPr>
        <w:numPr>
          <w:ilvl w:val="0"/>
          <w:numId w:val="1002"/>
        </w:numPr>
        <w:pStyle w:val="Compact"/>
      </w:pPr>
      <w:r>
        <w:rPr>
          <w:b/>
        </w:rPr>
        <w:t xml:space="preserve">Weekly Plant Superintendent coordination meeting (K. Velasquez).</w:t>
      </w:r>
      <w:r>
        <w:t xml:space="preserve"> </w:t>
      </w:r>
      <w:r>
        <w:t xml:space="preserve">Focused agenda: shutdown windows, operator training schedule, permit-threshold proximity. Construction Manager owns.</w:t>
      </w:r>
    </w:p>
    <w:p>
      <w:pPr>
        <w:numPr>
          <w:ilvl w:val="0"/>
          <w:numId w:val="1002"/>
        </w:numPr>
        <w:pStyle w:val="Compact"/>
      </w:pPr>
      <w:r>
        <w:rPr>
          <w:b/>
        </w:rPr>
        <w:t xml:space="preserve">Quarterly direct briefing with Public Works Director (E. Marsh).</w:t>
      </w:r>
      <w:r>
        <w:t xml:space="preserve"> </w:t>
      </w:r>
      <w:r>
        <w:t xml:space="preserve">Triggered by quarterly cadence or by any event with political visibility (council attention, press enquiry, ratepayer complaint volume). Project Director owns.</w:t>
      </w:r>
    </w:p>
    <w:p>
      <w:pPr>
        <w:pStyle w:val="Heading3"/>
      </w:pPr>
      <w:bookmarkStart w:id="25" w:name="Xdd958808d4be66412d885380f03d9f79434fedb"/>
      <w:r>
        <w:t xml:space="preserve">3.2 To regulators (State Environmental Agency, EPA Region)</w:t>
      </w:r>
      <w:bookmarkEnd w:id="25"/>
    </w:p>
    <w:p>
      <w:pPr>
        <w:pStyle w:val="FirstParagraph"/>
      </w:pPr>
      <w:r>
        <w:rPr>
          <w:b/>
        </w:rPr>
        <w:t xml:space="preserve">Tone:</w:t>
      </w:r>
      <w:r>
        <w:t xml:space="preserve"> </w:t>
      </w:r>
      <w:r>
        <w:rPr>
          <w:i/>
        </w:rPr>
        <w:t xml:space="preserve">we know the rules and we meet them</w:t>
      </w:r>
      <w:r>
        <w:t xml:space="preserve">. No surprises, no editorial, no advocacy. Formal submissions on schedule; informal contact on procedure only.</w:t>
      </w:r>
    </w:p>
    <w:p>
      <w:pPr>
        <w:pStyle w:val="BodyText"/>
      </w:pPr>
      <w:r>
        <w:rPr>
          <w:b/>
        </w:rPr>
        <w:t xml:space="preserve">Standing message types:</w:t>
      </w:r>
    </w:p>
    <w:p>
      <w:pPr>
        <w:numPr>
          <w:ilvl w:val="0"/>
          <w:numId w:val="1003"/>
        </w:numPr>
        <w:pStyle w:val="Compact"/>
      </w:pPr>
      <w:r>
        <w:rPr>
          <w:b/>
        </w:rPr>
        <w:t xml:space="preserve">Monthly compliance call with assigned state engineer.</w:t>
      </w:r>
      <w:r>
        <w:t xml:space="preserve"> </w:t>
      </w:r>
      <w:r>
        <w:t xml:space="preserve">Permit compliance status, upcoming submission dates, any in-construction events that touched permit thresholds (process upsets, effluent excursions). 30 minutes.</w:t>
      </w:r>
    </w:p>
    <w:p>
      <w:pPr>
        <w:numPr>
          <w:ilvl w:val="0"/>
          <w:numId w:val="1003"/>
        </w:numPr>
        <w:pStyle w:val="Compact"/>
      </w:pPr>
      <w:r>
        <w:rPr>
          <w:b/>
        </w:rPr>
        <w:t xml:space="preserve">Formal permit submissions on the permit schedule.</w:t>
      </w:r>
      <w:r>
        <w:t xml:space="preserve"> </w:t>
      </w:r>
      <w:r>
        <w:t xml:space="preserve">Always on or ahead of due date. Acknowledgement-required submissions tracked separately.</w:t>
      </w:r>
    </w:p>
    <w:p>
      <w:pPr>
        <w:numPr>
          <w:ilvl w:val="0"/>
          <w:numId w:val="1003"/>
        </w:numPr>
        <w:pStyle w:val="Compact"/>
      </w:pPr>
      <w:r>
        <w:rPr>
          <w:b/>
        </w:rPr>
        <w:t xml:space="preserve">Pre-test procedure agreement.</w:t>
      </w:r>
      <w:r>
        <w:t xml:space="preserve"> </w:t>
      </w:r>
      <w:r>
        <w:t xml:space="preserve">60-day window before performance-test commencement. Procedure-change negotiation handled through the assigned state engineer; formal change requires written agreement.</w:t>
      </w:r>
    </w:p>
    <w:p>
      <w:pPr>
        <w:numPr>
          <w:ilvl w:val="0"/>
          <w:numId w:val="1003"/>
        </w:numPr>
        <w:pStyle w:val="Compact"/>
      </w:pPr>
      <w:r>
        <w:rPr>
          <w:b/>
        </w:rPr>
        <w:t xml:space="preserve">EPA notification (triggered only).</w:t>
      </w:r>
      <w:r>
        <w:t xml:space="preserve"> </w:t>
      </w:r>
      <w:r>
        <w:t xml:space="preserve">Used only if the state regulator escalates an event to federal oversight. Sponsor owns.</w:t>
      </w:r>
    </w:p>
    <w:p>
      <w:pPr>
        <w:pStyle w:val="Heading3"/>
      </w:pPr>
      <w:bookmarkStart w:id="26" w:name="Xf97d9b17cd1f1da14d3b3eb8214fa4c0c991e8b"/>
      <w:r>
        <w:t xml:space="preserve">3.3 To community and press (neighbourhood association, downstream users, local press)</w:t>
      </w:r>
      <w:bookmarkEnd w:id="26"/>
    </w:p>
    <w:p>
      <w:pPr>
        <w:pStyle w:val="FirstParagraph"/>
      </w:pPr>
      <w:r>
        <w:rPr>
          <w:b/>
        </w:rPr>
        <w:t xml:space="preserve">Tone:</w:t>
      </w:r>
      <w:r>
        <w:t xml:space="preserve"> </w:t>
      </w:r>
      <w:r>
        <w:rPr>
          <w:i/>
        </w:rPr>
        <w:t xml:space="preserve">transparency with calm framing, client-led</w:t>
      </w:r>
      <w:r>
        <w:t xml:space="preserve">. Northwood does not engage the community directly; Northwood supports the client’s PIO who leads.</w:t>
      </w:r>
    </w:p>
    <w:p>
      <w:pPr>
        <w:pStyle w:val="BodyText"/>
      </w:pPr>
      <w:r>
        <w:rPr>
          <w:b/>
        </w:rPr>
        <w:t xml:space="preserve">Standing message types:</w:t>
      </w:r>
    </w:p>
    <w:p>
      <w:pPr>
        <w:numPr>
          <w:ilvl w:val="0"/>
          <w:numId w:val="1004"/>
        </w:numPr>
        <w:pStyle w:val="Compact"/>
      </w:pPr>
      <w:r>
        <w:rPr>
          <w:b/>
        </w:rPr>
        <w:t xml:space="preserve">Quarterly community newsletter (via City PIO).</w:t>
      </w:r>
      <w:r>
        <w:t xml:space="preserve"> </w:t>
      </w:r>
      <w:r>
        <w:t xml:space="preserve">Content covers construction progress, upcoming visible work (truck movements, noise events), water-quality assurance during construction. Northwood drafts technical content; City PIO finalises and distributes.</w:t>
      </w:r>
    </w:p>
    <w:p>
      <w:pPr>
        <w:numPr>
          <w:ilvl w:val="0"/>
          <w:numId w:val="1004"/>
        </w:numPr>
        <w:pStyle w:val="Compact"/>
      </w:pPr>
      <w:r>
        <w:rPr>
          <w:b/>
        </w:rPr>
        <w:t xml:space="preserve">48-hour complaint response procedure.</w:t>
      </w:r>
      <w:r>
        <w:t xml:space="preserve"> </w:t>
      </w:r>
      <w:r>
        <w:t xml:space="preserve">Complaints route through City to Northwood; Northwood responds with factual answer within 48 hours; complex complaints requiring on-site investigation get a holding response in 24 hours and full response within 72 hours. Construction Manager owns.</w:t>
      </w:r>
    </w:p>
    <w:p>
      <w:pPr>
        <w:numPr>
          <w:ilvl w:val="0"/>
          <w:numId w:val="1004"/>
        </w:numPr>
        <w:pStyle w:val="Compact"/>
      </w:pPr>
      <w:r>
        <w:rPr>
          <w:b/>
        </w:rPr>
        <w:t xml:space="preserve">Press enquiry response (triggered only).</w:t>
      </w:r>
      <w:r>
        <w:t xml:space="preserve"> </w:t>
      </w:r>
      <w:r>
        <w:t xml:space="preserve">All press requests route through City PIO. Northwood does not comment to press directly. Northwood provides factual background only on PIO request, in writing, with quote review.</w:t>
      </w:r>
    </w:p>
    <w:p>
      <w:pPr>
        <w:pStyle w:val="Heading3"/>
      </w:pPr>
      <w:bookmarkStart w:id="27" w:name="Xe75a88b7d867d683c759307cad183adeff05c53"/>
      <w:r>
        <w:t xml:space="preserve">3.4 To internal Northwood (Sponsor, Project Director, all internal stakeholders)</w:t>
      </w:r>
      <w:bookmarkEnd w:id="27"/>
    </w:p>
    <w:p>
      <w:pPr>
        <w:pStyle w:val="FirstParagraph"/>
      </w:pPr>
      <w:r>
        <w:rPr>
          <w:b/>
        </w:rPr>
        <w:t xml:space="preserve">Tone:</w:t>
      </w:r>
      <w:r>
        <w:t xml:space="preserve"> </w:t>
      </w:r>
      <w:r>
        <w:rPr>
          <w:i/>
        </w:rPr>
        <w:t xml:space="preserve">one schedule, one critical path, one margin discipline</w:t>
      </w:r>
      <w:r>
        <w:t xml:space="preserve">. Direct, specific, no polish. Internal messages assume technical literacy and commercial awareness.</w:t>
      </w:r>
    </w:p>
    <w:p>
      <w:pPr>
        <w:pStyle w:val="BodyText"/>
      </w:pPr>
      <w:r>
        <w:rPr>
          <w:b/>
        </w:rPr>
        <w:t xml:space="preserve">Standing message types:</w:t>
      </w:r>
    </w:p>
    <w:p>
      <w:pPr>
        <w:numPr>
          <w:ilvl w:val="0"/>
          <w:numId w:val="1005"/>
        </w:numPr>
        <w:pStyle w:val="Compact"/>
      </w:pPr>
      <w:r>
        <w:rPr>
          <w:b/>
        </w:rPr>
        <w:t xml:space="preserve">Weekly internal status meeting.</w:t>
      </w:r>
      <w:r>
        <w:t xml:space="preserve"> </w:t>
      </w:r>
      <w:r>
        <w:t xml:space="preserve">PM-led; all Northwood project leads (Construction, Engineering, Procurement, Commercial). 45 minutes. Standing agenda: schedule variance, cost variance, risks updated, decisions needed.</w:t>
      </w:r>
    </w:p>
    <w:p>
      <w:pPr>
        <w:numPr>
          <w:ilvl w:val="0"/>
          <w:numId w:val="1005"/>
        </w:numPr>
        <w:pStyle w:val="Compact"/>
      </w:pPr>
      <w:r>
        <w:rPr>
          <w:b/>
        </w:rPr>
        <w:t xml:space="preserve">Monthly portfolio dashboard to Sponsor.</w:t>
      </w:r>
      <w:r>
        <w:t xml:space="preserve"> </w:t>
      </w:r>
      <w:r>
        <w:t xml:space="preserve">PM produces; Project Director reviews; submitted to portfolio steering. CPI, SPI, contingency consumed-to-date, top 3 risks.</w:t>
      </w:r>
    </w:p>
    <w:p>
      <w:pPr>
        <w:numPr>
          <w:ilvl w:val="0"/>
          <w:numId w:val="1005"/>
        </w:numPr>
        <w:pStyle w:val="Compact"/>
      </w:pPr>
      <w:r>
        <w:rPr>
          <w:b/>
        </w:rPr>
        <w:t xml:space="preserve">Internal escalation calls.</w:t>
      </w:r>
      <w:r>
        <w:t xml:space="preserve"> </w:t>
      </w:r>
      <w:r>
        <w:t xml:space="preserve">Triggered per §4 thresholds.</w:t>
      </w:r>
    </w:p>
    <w:p>
      <w:pPr>
        <w:pStyle w:val="Heading2"/>
      </w:pPr>
      <w:bookmarkStart w:id="28" w:name="escalation-paths-and-triggers"/>
      <w:r>
        <w:t xml:space="preserve">4. Escalation paths and triggers</w:t>
      </w:r>
      <w:bookmarkEnd w:id="28"/>
    </w:p>
    <w:p>
      <w:pPr>
        <w:pStyle w:val="FirstParagraph"/>
      </w:pPr>
      <w:r>
        <w:t xml:space="preserve">Escalation follows the charter §11 governance chain: PM → Project Director → Sponsor → CFO. Triggers below are calibrated to Riverside’s contract value ($42M) and commercial structure.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Escalation level</w:t>
            </w:r>
          </w:p>
        </w:tc>
        <w:tc>
          <w:tcPr>
            <w:tcBorders>
              <w:bottom w:val="single"/>
            </w:tcBorders>
            <w:vAlign w:val="bottom"/>
          </w:tcPr>
          <w:p>
            <w:pPr>
              <w:pStyle w:val="Compact"/>
              <w:jc w:val="left"/>
            </w:pPr>
            <w:r>
              <w:t xml:space="preserve">Time to escalate</w:t>
            </w:r>
          </w:p>
        </w:tc>
      </w:tr>
      <w:tr>
        <w:tc>
          <w:p>
            <w:pPr>
              <w:pStyle w:val="Compact"/>
              <w:jc w:val="left"/>
            </w:pPr>
            <w:r>
              <w:t xml:space="preserve">Single-activity schedule slip 7–14 days</w:t>
            </w:r>
          </w:p>
        </w:tc>
        <w:tc>
          <w:p>
            <w:pPr>
              <w:pStyle w:val="Compact"/>
              <w:jc w:val="left"/>
            </w:pPr>
            <w:r>
              <w:t xml:space="preserve">PM (no escalation)</w:t>
            </w:r>
          </w:p>
        </w:tc>
        <w:tc>
          <w:p>
            <w:pPr>
              <w:pStyle w:val="Compact"/>
              <w:jc w:val="left"/>
            </w:pPr>
            <w:r>
              <w:t xml:space="preserve">—</w:t>
            </w:r>
          </w:p>
        </w:tc>
      </w:tr>
      <w:tr>
        <w:tc>
          <w:p>
            <w:pPr>
              <w:pStyle w:val="Compact"/>
              <w:jc w:val="left"/>
            </w:pPr>
            <w:r>
              <w:t xml:space="preserve">Single-activity schedule slip &gt;14 days</w:t>
            </w:r>
          </w:p>
        </w:tc>
        <w:tc>
          <w:p>
            <w:pPr>
              <w:pStyle w:val="Compact"/>
              <w:jc w:val="left"/>
            </w:pPr>
            <w:r>
              <w:t xml:space="preserve">PM → Project Director</w:t>
            </w:r>
          </w:p>
        </w:tc>
        <w:tc>
          <w:p>
            <w:pPr>
              <w:pStyle w:val="Compact"/>
              <w:jc w:val="left"/>
            </w:pPr>
            <w:r>
              <w:t xml:space="preserve">Within 48 hours of discovery</w:t>
            </w:r>
          </w:p>
        </w:tc>
      </w:tr>
      <w:tr>
        <w:tc>
          <w:p>
            <w:pPr>
              <w:pStyle w:val="Compact"/>
              <w:jc w:val="left"/>
            </w:pPr>
            <w:r>
              <w:t xml:space="preserve">Critical-path slip &gt;14 days OR projected SC slip</w:t>
            </w:r>
          </w:p>
        </w:tc>
        <w:tc>
          <w:p>
            <w:pPr>
              <w:pStyle w:val="Compact"/>
              <w:jc w:val="left"/>
            </w:pPr>
            <w:r>
              <w:t xml:space="preserve">Project Director → Sponsor</w:t>
            </w:r>
          </w:p>
        </w:tc>
        <w:tc>
          <w:p>
            <w:pPr>
              <w:pStyle w:val="Compact"/>
              <w:jc w:val="left"/>
            </w:pPr>
            <w:r>
              <w:t xml:space="preserve">Within 24 hours</w:t>
            </w:r>
          </w:p>
        </w:tc>
      </w:tr>
      <w:tr>
        <w:tc>
          <w:p>
            <w:pPr>
              <w:pStyle w:val="Compact"/>
              <w:jc w:val="left"/>
            </w:pPr>
            <w:r>
              <w:t xml:space="preserve">Critical-path slip eroding the 58-day SC-to-regulatory-deadline buffer</w:t>
            </w:r>
          </w:p>
        </w:tc>
        <w:tc>
          <w:p>
            <w:pPr>
              <w:pStyle w:val="Compact"/>
              <w:jc w:val="left"/>
            </w:pPr>
            <w:r>
              <w:t xml:space="preserve">Sponsor → CFO</w:t>
            </w:r>
          </w:p>
        </w:tc>
        <w:tc>
          <w:p>
            <w:pPr>
              <w:pStyle w:val="Compact"/>
              <w:jc w:val="left"/>
            </w:pPr>
            <w:r>
              <w:t xml:space="preserve">Same business day</w:t>
            </w:r>
          </w:p>
        </w:tc>
      </w:tr>
      <w:tr>
        <w:tc>
          <w:p>
            <w:pPr>
              <w:pStyle w:val="Compact"/>
              <w:jc w:val="left"/>
            </w:pPr>
            <w:r>
              <w:t xml:space="preserve">Cost variance — single branch &gt;$200k</w:t>
            </w:r>
          </w:p>
        </w:tc>
        <w:tc>
          <w:p>
            <w:pPr>
              <w:pStyle w:val="Compact"/>
              <w:jc w:val="left"/>
            </w:pPr>
            <w:r>
              <w:t xml:space="preserve">PM → Project Director</w:t>
            </w:r>
          </w:p>
        </w:tc>
        <w:tc>
          <w:p>
            <w:pPr>
              <w:pStyle w:val="Compact"/>
              <w:jc w:val="left"/>
            </w:pPr>
            <w:r>
              <w:t xml:space="preserve">Within 48 hours</w:t>
            </w:r>
          </w:p>
        </w:tc>
      </w:tr>
      <w:tr>
        <w:tc>
          <w:p>
            <w:pPr>
              <w:pStyle w:val="Compact"/>
              <w:jc w:val="left"/>
            </w:pPr>
            <w:r>
              <w:t xml:space="preserve">Cost variance — single branch &gt;$500k OR total project &gt;$1.5M</w:t>
            </w:r>
          </w:p>
        </w:tc>
        <w:tc>
          <w:p>
            <w:pPr>
              <w:pStyle w:val="Compact"/>
              <w:jc w:val="left"/>
            </w:pPr>
            <w:r>
              <w:t xml:space="preserve">Project Director → Sponsor</w:t>
            </w:r>
          </w:p>
        </w:tc>
        <w:tc>
          <w:p>
            <w:pPr>
              <w:pStyle w:val="Compact"/>
              <w:jc w:val="left"/>
            </w:pPr>
            <w:r>
              <w:t xml:space="preserve">Within 24 hours</w:t>
            </w:r>
          </w:p>
        </w:tc>
      </w:tr>
      <w:tr>
        <w:tc>
          <w:p>
            <w:pPr>
              <w:pStyle w:val="Compact"/>
              <w:jc w:val="left"/>
            </w:pPr>
            <w:r>
              <w:t xml:space="preserve">Cost variance threatening margin floor (5% threshold)</w:t>
            </w:r>
          </w:p>
        </w:tc>
        <w:tc>
          <w:p>
            <w:pPr>
              <w:pStyle w:val="Compact"/>
              <w:jc w:val="left"/>
            </w:pPr>
            <w:r>
              <w:t xml:space="preserve">Sponsor → CFO (claim-defence and acceleration spend authorisations)</w:t>
            </w:r>
          </w:p>
        </w:tc>
        <w:tc>
          <w:p>
            <w:pPr>
              <w:pStyle w:val="Compact"/>
              <w:jc w:val="left"/>
            </w:pPr>
            <w:r>
              <w:t xml:space="preserve">Same business day</w:t>
            </w:r>
          </w:p>
        </w:tc>
      </w:tr>
      <w:tr>
        <w:tc>
          <w:p>
            <w:pPr>
              <w:pStyle w:val="Compact"/>
              <w:jc w:val="left"/>
            </w:pPr>
            <w:r>
              <w:t xml:space="preserve">Effluent permit excursion during construction</w:t>
            </w:r>
          </w:p>
        </w:tc>
        <w:tc>
          <w:p>
            <w:pPr>
              <w:pStyle w:val="Compact"/>
              <w:jc w:val="left"/>
            </w:pPr>
            <w:r>
              <w:t xml:space="preserve">PM → Project Director → Sponsor in parallel; client and state regulator notification within 24 hours per permit</w:t>
            </w:r>
          </w:p>
        </w:tc>
        <w:tc>
          <w:p>
            <w:pPr>
              <w:pStyle w:val="Compact"/>
              <w:jc w:val="left"/>
            </w:pPr>
            <w:r>
              <w:t xml:space="preserve">Same business day; regulatory clock starts immediately</w:t>
            </w:r>
          </w:p>
        </w:tc>
      </w:tr>
      <w:tr>
        <w:tc>
          <w:p>
            <w:pPr>
              <w:pStyle w:val="Compact"/>
              <w:jc w:val="left"/>
            </w:pPr>
            <w:r>
              <w:t xml:space="preserve">Lost-time injury</w:t>
            </w:r>
          </w:p>
        </w:tc>
        <w:tc>
          <w:p>
            <w:pPr>
              <w:pStyle w:val="Compact"/>
              <w:jc w:val="left"/>
            </w:pPr>
            <w:r>
              <w:t xml:space="preserve">PM → Project Director → Sponsor → Client immediately; OSHA notification per regulation</w:t>
            </w:r>
          </w:p>
        </w:tc>
        <w:tc>
          <w:p>
            <w:pPr>
              <w:pStyle w:val="Compact"/>
              <w:jc w:val="left"/>
            </w:pPr>
            <w:r>
              <w:t xml:space="preserve">Within hours</w:t>
            </w:r>
          </w:p>
        </w:tc>
      </w:tr>
      <w:tr>
        <w:tc>
          <w:p>
            <w:pPr>
              <w:pStyle w:val="Compact"/>
              <w:jc w:val="left"/>
            </w:pPr>
            <w:r>
              <w:t xml:space="preserve">Press enquiry beyond routine</w:t>
            </w:r>
          </w:p>
        </w:tc>
        <w:tc>
          <w:p>
            <w:pPr>
              <w:pStyle w:val="Compact"/>
              <w:jc w:val="left"/>
            </w:pPr>
            <w:r>
              <w:t xml:space="preserve">PM → Project Director → Sponsor; coordinate response with City PIO</w:t>
            </w:r>
          </w:p>
        </w:tc>
        <w:tc>
          <w:p>
            <w:pPr>
              <w:pStyle w:val="Compact"/>
              <w:jc w:val="left"/>
            </w:pPr>
            <w:r>
              <w:t xml:space="preserve">Within hours</w:t>
            </w:r>
          </w:p>
        </w:tc>
      </w:tr>
      <w:tr>
        <w:tc>
          <w:p>
            <w:pPr>
              <w:pStyle w:val="Compact"/>
              <w:jc w:val="left"/>
            </w:pPr>
            <w:r>
              <w:t xml:space="preserve">Latent defect discovery during demolition</w:t>
            </w:r>
          </w:p>
        </w:tc>
        <w:tc>
          <w:p>
            <w:pPr>
              <w:pStyle w:val="Compact"/>
              <w:jc w:val="left"/>
            </w:pPr>
            <w:r>
              <w:t xml:space="preserve">PM → Project Director within working day; T&amp;M variation request to client per contract</w:t>
            </w:r>
          </w:p>
        </w:tc>
        <w:tc>
          <w:p>
            <w:pPr>
              <w:pStyle w:val="Compact"/>
              <w:jc w:val="left"/>
            </w:pPr>
            <w:r>
              <w:t xml:space="preserve">24 hours</w:t>
            </w:r>
          </w:p>
        </w:tc>
      </w:tr>
    </w:tbl>
    <w:p>
      <w:pPr>
        <w:pStyle w:val="BodyText"/>
      </w:pPr>
      <w:r>
        <w:t xml:space="preserve">Triggers are not pass-through requests — each escalation is accompanied by a one-page brief stating the event, its commercial and schedule impact, options considered, and the recommended action. The recipient escalates further only if a decision exceeds their authority per charter §11.</w:t>
      </w:r>
    </w:p>
    <w:p>
      <w:pPr>
        <w:pStyle w:val="Heading2"/>
      </w:pPr>
      <w:bookmarkStart w:id="29" w:name="reporting-cadence-the-standing-rhythm"/>
      <w:r>
        <w:t xml:space="preserve">5. Reporting cadence — the standing rhythm</w:t>
      </w:r>
      <w:bookmarkEnd w:id="29"/>
    </w:p>
    <w:p>
      <w:pPr>
        <w:pStyle w:val="FirstParagraph"/>
      </w:pPr>
      <w:r>
        <w:t xml:space="preserve">The standing reports below run continuously through the project. Each report’s owner, frequency, audience, and content are pre-committed.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Content</w:t>
            </w:r>
          </w:p>
        </w:tc>
      </w:tr>
      <w:tr>
        <w:tc>
          <w:p>
            <w:pPr>
              <w:pStyle w:val="Compact"/>
              <w:jc w:val="left"/>
            </w:pPr>
            <w:r>
              <w:t xml:space="preserve">Weekly internal status</w:t>
            </w:r>
          </w:p>
        </w:tc>
        <w:tc>
          <w:p>
            <w:pPr>
              <w:pStyle w:val="Compact"/>
              <w:jc w:val="left"/>
            </w:pPr>
            <w:r>
              <w:t xml:space="preserve">PM</w:t>
            </w:r>
          </w:p>
        </w:tc>
        <w:tc>
          <w:p>
            <w:pPr>
              <w:pStyle w:val="Compact"/>
              <w:jc w:val="left"/>
            </w:pPr>
            <w:r>
              <w:t xml:space="preserve">Weekly</w:t>
            </w:r>
          </w:p>
        </w:tc>
        <w:tc>
          <w:p>
            <w:pPr>
              <w:pStyle w:val="Compact"/>
              <w:jc w:val="left"/>
            </w:pPr>
            <w:r>
              <w:t xml:space="preserve">Internal Northwood leads</w:t>
            </w:r>
          </w:p>
        </w:tc>
        <w:tc>
          <w:p>
            <w:pPr>
              <w:pStyle w:val="Compact"/>
              <w:jc w:val="left"/>
            </w:pPr>
            <w:r>
              <w:t xml:space="preserve">Schedule and cost variance, risks updated, decisions needed</w:t>
            </w:r>
          </w:p>
        </w:tc>
      </w:tr>
      <w:tr>
        <w:tc>
          <w:p>
            <w:pPr>
              <w:pStyle w:val="Compact"/>
              <w:jc w:val="left"/>
            </w:pPr>
            <w:r>
              <w:t xml:space="preserve">Monthly client status (written)</w:t>
            </w:r>
          </w:p>
        </w:tc>
        <w:tc>
          <w:p>
            <w:pPr>
              <w:pStyle w:val="Compact"/>
              <w:jc w:val="left"/>
            </w:pPr>
            <w:r>
              <w:t xml:space="preserve">PM</w:t>
            </w:r>
          </w:p>
        </w:tc>
        <w:tc>
          <w:p>
            <w:pPr>
              <w:pStyle w:val="Compact"/>
              <w:jc w:val="left"/>
            </w:pPr>
            <w:r>
              <w:t xml:space="preserve">Monthly</w:t>
            </w:r>
          </w:p>
        </w:tc>
        <w:tc>
          <w:p>
            <w:pPr>
              <w:pStyle w:val="Compact"/>
              <w:jc w:val="left"/>
            </w:pPr>
            <w:r>
              <w:t xml:space="preserve">Client PM (D. Hoffmann); copy Public Works Director</w:t>
            </w:r>
          </w:p>
        </w:tc>
        <w:tc>
          <w:p>
            <w:pPr>
              <w:pStyle w:val="Compact"/>
              <w:jc w:val="left"/>
            </w:pPr>
            <w:r>
              <w:t xml:space="preserve">Two-page format per §3.1</w:t>
            </w:r>
          </w:p>
        </w:tc>
      </w:tr>
      <w:tr>
        <w:tc>
          <w:p>
            <w:pPr>
              <w:pStyle w:val="Compact"/>
              <w:jc w:val="left"/>
            </w:pPr>
            <w:r>
              <w:t xml:space="preserve">Monthly portfolio dashboard</w:t>
            </w:r>
          </w:p>
        </w:tc>
        <w:tc>
          <w:p>
            <w:pPr>
              <w:pStyle w:val="Compact"/>
              <w:jc w:val="left"/>
            </w:pPr>
            <w:r>
              <w:t xml:space="preserve">PM</w:t>
            </w:r>
          </w:p>
        </w:tc>
        <w:tc>
          <w:p>
            <w:pPr>
              <w:pStyle w:val="Compact"/>
              <w:jc w:val="left"/>
            </w:pPr>
            <w:r>
              <w:t xml:space="preserve">Monthly</w:t>
            </w:r>
          </w:p>
        </w:tc>
        <w:tc>
          <w:p>
            <w:pPr>
              <w:pStyle w:val="Compact"/>
              <w:jc w:val="left"/>
            </w:pPr>
            <w:r>
              <w:t xml:space="preserve">Sponsor via Project Director</w:t>
            </w:r>
          </w:p>
        </w:tc>
        <w:tc>
          <w:p>
            <w:pPr>
              <w:pStyle w:val="Compact"/>
              <w:jc w:val="left"/>
            </w:pPr>
            <w:r>
              <w:t xml:space="preserve">CPI, SPI, contingency, top 3 risks</w:t>
            </w:r>
          </w:p>
        </w:tc>
      </w:tr>
      <w:tr>
        <w:tc>
          <w:p>
            <w:pPr>
              <w:pStyle w:val="Compact"/>
              <w:jc w:val="left"/>
            </w:pPr>
            <w:r>
              <w:t xml:space="preserve">Monthly state compliance call notes</w:t>
            </w:r>
          </w:p>
        </w:tc>
        <w:tc>
          <w:p>
            <w:pPr>
              <w:pStyle w:val="Compact"/>
              <w:jc w:val="left"/>
            </w:pPr>
            <w:r>
              <w:t xml:space="preserve">QA/QC Lead</w:t>
            </w:r>
          </w:p>
        </w:tc>
        <w:tc>
          <w:p>
            <w:pPr>
              <w:pStyle w:val="Compact"/>
              <w:jc w:val="left"/>
            </w:pPr>
            <w:r>
              <w:t xml:space="preserve">Monthly</w:t>
            </w:r>
          </w:p>
        </w:tc>
        <w:tc>
          <w:p>
            <w:pPr>
              <w:pStyle w:val="Compact"/>
              <w:jc w:val="left"/>
            </w:pPr>
            <w:r>
              <w:t xml:space="preserve">State agency assigned engineer; copy Northwood PM</w:t>
            </w:r>
          </w:p>
        </w:tc>
        <w:tc>
          <w:p>
            <w:pPr>
              <w:pStyle w:val="Compact"/>
              <w:jc w:val="left"/>
            </w:pPr>
            <w:r>
              <w:t xml:space="preserve">Compliance status, upcoming submissions</w:t>
            </w:r>
          </w:p>
        </w:tc>
      </w:tr>
      <w:tr>
        <w:tc>
          <w:p>
            <w:pPr>
              <w:pStyle w:val="Compact"/>
              <w:jc w:val="left"/>
            </w:pPr>
            <w:r>
              <w:t xml:space="preserve">Quarterly Public Works Director briefing</w:t>
            </w:r>
          </w:p>
        </w:tc>
        <w:tc>
          <w:p>
            <w:pPr>
              <w:pStyle w:val="Compact"/>
              <w:jc w:val="left"/>
            </w:pPr>
            <w:r>
              <w:t xml:space="preserve">Project Director</w:t>
            </w:r>
          </w:p>
        </w:tc>
        <w:tc>
          <w:p>
            <w:pPr>
              <w:pStyle w:val="Compact"/>
              <w:jc w:val="left"/>
            </w:pPr>
            <w:r>
              <w:t xml:space="preserve">Quarterly</w:t>
            </w:r>
          </w:p>
        </w:tc>
        <w:tc>
          <w:p>
            <w:pPr>
              <w:pStyle w:val="Compact"/>
              <w:jc w:val="left"/>
            </w:pPr>
            <w:r>
              <w:t xml:space="preserve">Public Works Director (E. Marsh); briefing notes to Sponsor</w:t>
            </w:r>
          </w:p>
        </w:tc>
        <w:tc>
          <w:p>
            <w:pPr>
              <w:pStyle w:val="Compact"/>
              <w:jc w:val="left"/>
            </w:pPr>
            <w:r>
              <w:t xml:space="preserve">Political-accountability layer</w:t>
            </w:r>
          </w:p>
        </w:tc>
      </w:tr>
      <w:tr>
        <w:tc>
          <w:p>
            <w:pPr>
              <w:pStyle w:val="Compact"/>
              <w:jc w:val="left"/>
            </w:pPr>
            <w:r>
              <w:t xml:space="preserve">Quarterly community newsletter</w:t>
            </w:r>
          </w:p>
        </w:tc>
        <w:tc>
          <w:p>
            <w:pPr>
              <w:pStyle w:val="Compact"/>
              <w:jc w:val="left"/>
            </w:pPr>
            <w:r>
              <w:t xml:space="preserve">Client PIO with Northwood draft</w:t>
            </w:r>
          </w:p>
        </w:tc>
        <w:tc>
          <w:p>
            <w:pPr>
              <w:pStyle w:val="Compact"/>
              <w:jc w:val="left"/>
            </w:pPr>
            <w:r>
              <w:t xml:space="preserve">Quarterly</w:t>
            </w:r>
          </w:p>
        </w:tc>
        <w:tc>
          <w:p>
            <w:pPr>
              <w:pStyle w:val="Compact"/>
              <w:jc w:val="left"/>
            </w:pPr>
            <w:r>
              <w:t xml:space="preserve">Adjacent neighbourhood association; general distribution via City</w:t>
            </w:r>
          </w:p>
        </w:tc>
        <w:tc>
          <w:p>
            <w:pPr>
              <w:pStyle w:val="Compact"/>
              <w:jc w:val="left"/>
            </w:pPr>
            <w:r>
              <w:t xml:space="preserve">Construction progress, upcoming visible work</w:t>
            </w:r>
          </w:p>
        </w:tc>
      </w:tr>
      <w:tr>
        <w:tc>
          <w:p>
            <w:pPr>
              <w:pStyle w:val="Compact"/>
              <w:jc w:val="left"/>
            </w:pPr>
            <w:r>
              <w:t xml:space="preserve">Performance-test approach briefing</w:t>
            </w:r>
          </w:p>
        </w:tc>
        <w:tc>
          <w:p>
            <w:pPr>
              <w:pStyle w:val="Compact"/>
              <w:jc w:val="left"/>
            </w:pPr>
            <w:r>
              <w:t xml:space="preserve">PM with Engineering Lead</w:t>
            </w:r>
          </w:p>
        </w:tc>
        <w:tc>
          <w:p>
            <w:pPr>
              <w:pStyle w:val="Compact"/>
              <w:jc w:val="left"/>
            </w:pPr>
            <w:r>
              <w:t xml:space="preserve">Pre-test (60-day window)</w:t>
            </w:r>
          </w:p>
        </w:tc>
        <w:tc>
          <w:p>
            <w:pPr>
              <w:pStyle w:val="Compact"/>
              <w:jc w:val="left"/>
            </w:pPr>
            <w:r>
              <w:t xml:space="preserve">State regulator; client</w:t>
            </w:r>
          </w:p>
        </w:tc>
        <w:tc>
          <w:p>
            <w:pPr>
              <w:pStyle w:val="Compact"/>
              <w:jc w:val="left"/>
            </w:pPr>
            <w:r>
              <w:t xml:space="preserve">Performance-test procedure agreement</w:t>
            </w:r>
          </w:p>
        </w:tc>
      </w:tr>
    </w:tbl>
    <w:p>
      <w:pPr>
        <w:pStyle w:val="Heading2"/>
      </w:pPr>
      <w:bookmarkStart w:id="30" w:name="crisis-incident-communications-plan"/>
      <w:r>
        <w:t xml:space="preserve">6. Crisis / incident communications plan</w:t>
      </w:r>
      <w:bookmarkEnd w:id="30"/>
    </w:p>
    <w:p>
      <w:pPr>
        <w:pStyle w:val="FirstParagraph"/>
      </w:pPr>
      <w:r>
        <w:t xml:space="preserve">The standing rhythm in §5 is the project’s normal-state communication. The plan below is for breakdown-state events. Three classes of incident are pre-templated; new incident classes are written up as they occur.</w:t>
      </w:r>
    </w:p>
    <w:p>
      <w:pPr>
        <w:pStyle w:val="Heading3"/>
      </w:pPr>
      <w:bookmarkStart w:id="31" w:name="Xbbb4d53bbfbbb88e046e52041e6e7f7fb09adf0"/>
      <w:r>
        <w:t xml:space="preserve">6.1 Process upset / effluent permit excursion during construction</w:t>
      </w:r>
      <w:bookmarkEnd w:id="31"/>
    </w:p>
    <w:p>
      <w:pPr>
        <w:pStyle w:val="FirstParagraph"/>
      </w:pPr>
      <w:r>
        <w:rPr>
          <w:b/>
        </w:rPr>
        <w:t xml:space="preserve">Trigger.</w:t>
      </w:r>
      <w:r>
        <w:t xml:space="preserve"> </w:t>
      </w:r>
      <w:r>
        <w:t xml:space="preserve">Plant operations team detects an effluent excursion (TN, TP, or other regulated parameter) that the construction work could have caused or contributed to.</w:t>
      </w:r>
    </w:p>
    <w:p>
      <w:pPr>
        <w:pStyle w:val="BodyText"/>
      </w:pPr>
      <w:r>
        <w:rPr>
          <w:b/>
        </w:rPr>
        <w:t xml:space="preserve">First 4 hours.</w:t>
      </w:r>
      <w:r>
        <w:t xml:space="preserve"> </w:t>
      </w:r>
      <w:r>
        <w:t xml:space="preserve">- Plant Superintendent (K. Velasquez) confirms detection and isolates the apparent cause. Northwood Construction Manager is briefed within 30 minutes.</w:t>
      </w:r>
      <w:r>
        <w:t xml:space="preserve"> </w:t>
      </w:r>
      <w:r>
        <w:t xml:space="preserve">- PM is briefed within the hour. PM notifies Project Director within the second hour.</w:t>
      </w:r>
      <w:r>
        <w:t xml:space="preserve"> </w:t>
      </w:r>
      <w:r>
        <w:t xml:space="preserve">- Construction work in the affected area pauses pending root-cause confirmation.</w:t>
      </w:r>
    </w:p>
    <w:p>
      <w:pPr>
        <w:pStyle w:val="BodyText"/>
      </w:pPr>
      <w:r>
        <w:rPr>
          <w:b/>
        </w:rPr>
        <w:t xml:space="preserve">Hours 4–24.</w:t>
      </w:r>
      <w:r>
        <w:t xml:space="preserve"> </w:t>
      </w:r>
      <w:r>
        <w:t xml:space="preserve">- Joint Northwood-client root-cause analysis. Plant Superintendent leads on plant-side, Construction Manager leads on construction-side.</w:t>
      </w:r>
      <w:r>
        <w:t xml:space="preserve"> </w:t>
      </w:r>
      <w:r>
        <w:t xml:space="preserve">- Client PM (D. Hoffmann) is briefed and decides whether to notify the state regulator within the regulatory window (typically 24 hours).</w:t>
      </w:r>
      <w:r>
        <w:t xml:space="preserve"> </w:t>
      </w:r>
      <w:r>
        <w:t xml:space="preserve">- If notification required: state regulator notification within 24 hours of detection per permit.</w:t>
      </w:r>
      <w:r>
        <w:t xml:space="preserve"> </w:t>
      </w:r>
      <w:r>
        <w:rPr>
          <w:i/>
        </w:rPr>
        <w:t xml:space="preserve">(at draft stage [NEEDS PM REVIEW: confirm permit notification window]; permit specifies 24 hours).</w:t>
      </w:r>
      <w:r>
        <w:t xml:space="preserve"> </w:t>
      </w:r>
      <w:r>
        <w:t xml:space="preserve">- Project Director briefs Sponsor; Sponsor decides on internal portfolio escalation.</w:t>
      </w:r>
    </w:p>
    <w:p>
      <w:pPr>
        <w:pStyle w:val="BodyText"/>
      </w:pPr>
      <w:r>
        <w:rPr>
          <w:b/>
        </w:rPr>
        <w:t xml:space="preserve">Day 2 onward.</w:t>
      </w:r>
      <w:r>
        <w:t xml:space="preserve"> </w:t>
      </w:r>
      <w:r>
        <w:t xml:space="preserve">- Joint corrective action plan agreed with client.</w:t>
      </w:r>
      <w:r>
        <w:t xml:space="preserve"> </w:t>
      </w:r>
      <w:r>
        <w:t xml:space="preserve">- State regulator follow-up submission on the agreed schedule.</w:t>
      </w:r>
      <w:r>
        <w:t xml:space="preserve"> </w:t>
      </w:r>
      <w:r>
        <w:t xml:space="preserve">- Public Works Director briefed by Project Director within 48 hours.</w:t>
      </w:r>
      <w:r>
        <w:t xml:space="preserve"> </w:t>
      </w:r>
      <w:r>
        <w:t xml:space="preserve">- Press protocol: no proactive communication; if press enquires, routed through City PIO with Northwood factual background.</w:t>
      </w:r>
    </w:p>
    <w:p>
      <w:pPr>
        <w:pStyle w:val="Heading3"/>
      </w:pPr>
      <w:bookmarkStart w:id="32" w:name="X2c2cb9ffc40891c8cdb7eb641af994bda1f1d60"/>
      <w:r>
        <w:t xml:space="preserve">6.2 Long-lead equipment delivery slip threatening schedule</w:t>
      </w:r>
      <w:bookmarkEnd w:id="32"/>
    </w:p>
    <w:p>
      <w:pPr>
        <w:pStyle w:val="FirstParagraph"/>
      </w:pPr>
      <w:r>
        <w:rPr>
          <w:b/>
        </w:rPr>
        <w:t xml:space="preserve">Trigger.</w:t>
      </w:r>
      <w:r>
        <w:t xml:space="preserve"> </w:t>
      </w:r>
      <w:r>
        <w:t xml:space="preserve">Vendor (e.g., blowers) notifies of delivery slip greater than 4 weeks; or expediter on the ground identifies indicators of &gt;4-week slip risk.</w:t>
      </w:r>
    </w:p>
    <w:p>
      <w:pPr>
        <w:pStyle w:val="BodyText"/>
      </w:pPr>
      <w:r>
        <w:rPr>
          <w:b/>
        </w:rPr>
        <w:t xml:space="preserve">First 24 hours.</w:t>
      </w:r>
      <w:r>
        <w:t xml:space="preserve"> </w:t>
      </w:r>
      <w:r>
        <w:t xml:space="preserve">- PM briefs Project Director. Procurement Lead initiates formal vendor communication requesting confirmed revised delivery date and root cause.</w:t>
      </w:r>
      <w:r>
        <w:t xml:space="preserve"> </w:t>
      </w:r>
      <w:r>
        <w:t xml:space="preserve">- Schedule Engineer models critical-path impact of various slip scenarios.</w:t>
      </w:r>
    </w:p>
    <w:p>
      <w:pPr>
        <w:pStyle w:val="BodyText"/>
      </w:pPr>
      <w:r>
        <w:rPr>
          <w:b/>
        </w:rPr>
        <w:t xml:space="preserve">Days 2–5.</w:t>
      </w:r>
      <w:r>
        <w:t xml:space="preserve"> </w:t>
      </w:r>
      <w:r>
        <w:t xml:space="preserve">- Northwood-internal review of acceleration options (overtime, additional crews, expedited shipping, alternative work-sequence). Cost-to-accelerate calculated against the cost of slip (LDs, claim exposure).</w:t>
      </w:r>
      <w:r>
        <w:t xml:space="preserve"> </w:t>
      </w:r>
      <w:r>
        <w:t xml:space="preserve">- Sponsor briefed by Project Director with options and recommendation.</w:t>
      </w:r>
      <w:r>
        <w:t xml:space="preserve"> </w:t>
      </w:r>
      <w:r>
        <w:t xml:space="preserve">- Client PM briefed by PM once Northwood internal position is settled. Briefing acknowledges the slip honestly and presents Northwood’s recovery plan;</w:t>
      </w:r>
      <w:r>
        <w:t xml:space="preserve"> </w:t>
      </w:r>
      <w:r>
        <w:rPr>
          <w:i/>
        </w:rPr>
        <w:t xml:space="preserve">does not</w:t>
      </w:r>
      <w:r>
        <w:t xml:space="preserve"> </w:t>
      </w:r>
      <w:r>
        <w:t xml:space="preserve">anchor the client on the slip as a fixed outcome.</w:t>
      </w:r>
    </w:p>
    <w:p>
      <w:pPr>
        <w:pStyle w:val="BodyText"/>
      </w:pPr>
      <w:r>
        <w:rPr>
          <w:b/>
        </w:rPr>
        <w:t xml:space="preserve">Week 2 onward.</w:t>
      </w:r>
      <w:r>
        <w:t xml:space="preserve"> </w:t>
      </w:r>
      <w:r>
        <w:t xml:space="preserve">- Acceleration plan executed under Director authority; spend tracked against contingency.</w:t>
      </w:r>
      <w:r>
        <w:t xml:space="preserve"> </w:t>
      </w:r>
      <w:r>
        <w:t xml:space="preserve">- Vendor weekly call escalates to daily during recovery period.</w:t>
      </w:r>
      <w:r>
        <w:t xml:space="preserve"> </w:t>
      </w:r>
      <w:r>
        <w:t xml:space="preserve">- Status report to client includes the slip and the recovery progress in every cycle until resolved.</w:t>
      </w:r>
    </w:p>
    <w:p>
      <w:pPr>
        <w:pStyle w:val="Heading3"/>
      </w:pPr>
      <w:bookmarkStart w:id="33" w:name="lost-time-injury"/>
      <w:r>
        <w:t xml:space="preserve">6.3 Lost-time injury</w:t>
      </w:r>
      <w:bookmarkEnd w:id="33"/>
    </w:p>
    <w:p>
      <w:pPr>
        <w:pStyle w:val="FirstParagraph"/>
      </w:pPr>
      <w:r>
        <w:rPr>
          <w:b/>
        </w:rPr>
        <w:t xml:space="preserve">Trigger.</w:t>
      </w:r>
      <w:r>
        <w:t xml:space="preserve"> </w:t>
      </w:r>
      <w:r>
        <w:t xml:space="preserve">Any injury resulting in lost work time.</w:t>
      </w:r>
    </w:p>
    <w:p>
      <w:pPr>
        <w:pStyle w:val="BodyText"/>
      </w:pPr>
      <w:r>
        <w:rPr>
          <w:b/>
        </w:rPr>
        <w:t xml:space="preserve">First 2 hours.</w:t>
      </w:r>
      <w:r>
        <w:t xml:space="preserve"> </w:t>
      </w:r>
      <w:r>
        <w:t xml:space="preserve">- Incident response per site safety plan. Medical attention to injured worker as priority.</w:t>
      </w:r>
      <w:r>
        <w:t xml:space="preserve"> </w:t>
      </w:r>
      <w:r>
        <w:t xml:space="preserve">- HSE Lead notifies PM and Construction Manager immediately.</w:t>
      </w:r>
      <w:r>
        <w:t xml:space="preserve"> </w:t>
      </w:r>
      <w:r>
        <w:t xml:space="preserve">- PM notifies Project Director within the hour.</w:t>
      </w:r>
    </w:p>
    <w:p>
      <w:pPr>
        <w:pStyle w:val="BodyText"/>
      </w:pPr>
      <w:r>
        <w:rPr>
          <w:b/>
        </w:rPr>
        <w:t xml:space="preserve">First 24 hours.</w:t>
      </w:r>
      <w:r>
        <w:t xml:space="preserve"> </w:t>
      </w:r>
      <w:r>
        <w:t xml:space="preserve">- Project Director notifies Sponsor.</w:t>
      </w:r>
      <w:r>
        <w:t xml:space="preserve"> </w:t>
      </w:r>
      <w:r>
        <w:t xml:space="preserve">- OSHA notification per regulation (8 hours for hospitalisation, 24 hours for non-hospitalisation lost-time).</w:t>
      </w:r>
      <w:r>
        <w:t xml:space="preserve"> </w:t>
      </w:r>
      <w:r>
        <w:t xml:space="preserve">- Client PM notified by PM with factual summary.</w:t>
      </w:r>
      <w:r>
        <w:t xml:space="preserve"> </w:t>
      </w:r>
      <w:r>
        <w:t xml:space="preserve">- Site safety stand-down within 24 hours; all-hands briefing on incident and immediate corrective measures.</w:t>
      </w:r>
    </w:p>
    <w:p>
      <w:pPr>
        <w:pStyle w:val="BodyText"/>
      </w:pPr>
      <w:r>
        <w:rPr>
          <w:b/>
        </w:rPr>
        <w:t xml:space="preserve">Week 1 onward.</w:t>
      </w:r>
      <w:r>
        <w:t xml:space="preserve"> </w:t>
      </w:r>
      <w:r>
        <w:t xml:space="preserve">- Formal root-cause analysis completed within 7 days.</w:t>
      </w:r>
      <w:r>
        <w:t xml:space="preserve"> </w:t>
      </w:r>
      <w:r>
        <w:t xml:space="preserve">- HSE plan update within 14 days.</w:t>
      </w:r>
      <w:r>
        <w:t xml:space="preserve"> </w:t>
      </w:r>
      <w:r>
        <w:t xml:space="preserve">- Client and state regulator follow-up per their respective procedures.</w:t>
      </w:r>
      <w:r>
        <w:t xml:space="preserve"> </w:t>
      </w:r>
      <w:r>
        <w:t xml:space="preserve">- Press: no proactive communication; routed through City PIO if enquiry.</w:t>
      </w:r>
    </w:p>
    <w:p>
      <w:pPr>
        <w:pStyle w:val="Heading2"/>
      </w:pPr>
      <w:bookmarkStart w:id="34" w:name="conventions-used"/>
      <w:r>
        <w:t xml:space="preserve">7. Conventions used</w:t>
      </w:r>
      <w:bookmarkEnd w:id="34"/>
    </w:p>
    <w:p>
      <w:pPr>
        <w:pStyle w:val="FirstParagraph"/>
      </w:pPr>
      <w:r>
        <w:t xml:space="preserve">Five patterns this document follows, for traceability against the Northwood worked-example convention:</w:t>
      </w:r>
    </w:p>
    <w:p>
      <w:pPr>
        <w:numPr>
          <w:ilvl w:val="0"/>
          <w:numId w:val="1006"/>
        </w:numPr>
        <w:pStyle w:val="Compact"/>
      </w:pPr>
      <w:r>
        <w:rPr>
          <w:b/>
        </w:rPr>
        <w:t xml:space="preserve">The communications matrix operationalises the stakeholder register.</w:t>
      </w:r>
      <w:r>
        <w:t xml:space="preserve"> </w:t>
      </w:r>
      <w:r>
        <w:t xml:space="preserve">Every audience in the matrix corresponds to a stakeholder in the register (§2 of</w:t>
      </w:r>
      <w:r>
        <w:t xml:space="preserve"> </w:t>
      </w:r>
      <w:r>
        <w:rPr>
          <w:rStyle w:val="VerbatimChar"/>
        </w:rPr>
        <w:t xml:space="preserve">01b_stakeholder_register.md</w:t>
      </w:r>
      <w:r>
        <w:t xml:space="preserve">). The register identifies</w:t>
      </w:r>
      <w:r>
        <w:t xml:space="preserve"> </w:t>
      </w:r>
      <w:r>
        <w:rPr>
          <w:i/>
        </w:rPr>
        <w:t xml:space="preserve">who</w:t>
      </w:r>
      <w:r>
        <w:t xml:space="preserve"> </w:t>
      </w:r>
      <w:r>
        <w:t xml:space="preserve">and</w:t>
      </w:r>
      <w:r>
        <w:t xml:space="preserve"> </w:t>
      </w:r>
      <w:r>
        <w:rPr>
          <w:i/>
        </w:rPr>
        <w:t xml:space="preserve">what engagement strategy</w:t>
      </w:r>
      <w:r>
        <w:t xml:space="preserve">; the matrix specifies</w:t>
      </w:r>
      <w:r>
        <w:t xml:space="preserve"> </w:t>
      </w:r>
      <w:r>
        <w:rPr>
          <w:i/>
        </w:rPr>
        <w:t xml:space="preserve">what message</w:t>
      </w:r>
      <w:r>
        <w:t xml:space="preserve">,</w:t>
      </w:r>
      <w:r>
        <w:t xml:space="preserve"> </w:t>
      </w:r>
      <w:r>
        <w:rPr>
          <w:i/>
        </w:rPr>
        <w:t xml:space="preserve">what channel</w:t>
      </w:r>
      <w:r>
        <w:t xml:space="preserve">,</w:t>
      </w:r>
      <w:r>
        <w:t xml:space="preserve"> </w:t>
      </w:r>
      <w:r>
        <w:rPr>
          <w:i/>
        </w:rPr>
        <w:t xml:space="preserve">what cadence</w:t>
      </w:r>
      <w:r>
        <w:t xml:space="preserve">,</w:t>
      </w:r>
      <w:r>
        <w:t xml:space="preserve"> </w:t>
      </w:r>
      <w:r>
        <w:rPr>
          <w:i/>
        </w:rPr>
        <w:t xml:space="preserve">what owner</w:t>
      </w:r>
      <w:r>
        <w:t xml:space="preserve">. Without the register, the matrix has no source-of-truth for audiences.</w:t>
      </w:r>
    </w:p>
    <w:p>
      <w:pPr>
        <w:numPr>
          <w:ilvl w:val="0"/>
          <w:numId w:val="1006"/>
        </w:numPr>
        <w:pStyle w:val="Compact"/>
      </w:pPr>
      <w:r>
        <w:rPr>
          <w:b/>
        </w:rPr>
        <w:t xml:space="preserve">Audience segmentation drives message-template inventory.</w:t>
      </w:r>
      <w:r>
        <w:t xml:space="preserve"> </w:t>
      </w:r>
      <w:r>
        <w:t xml:space="preserve">Four segments (client, regulator, community/press, internal). Each segment has a distinct</w:t>
      </w:r>
      <w:r>
        <w:t xml:space="preserve"> </w:t>
      </w:r>
      <w:r>
        <w:rPr>
          <w:i/>
        </w:rPr>
        <w:t xml:space="preserve">tone</w:t>
      </w:r>
      <w:r>
        <w:t xml:space="preserve"> </w:t>
      </w:r>
      <w:r>
        <w:t xml:space="preserve">and three to five</w:t>
      </w:r>
      <w:r>
        <w:t xml:space="preserve"> </w:t>
      </w:r>
      <w:r>
        <w:rPr>
          <w:i/>
        </w:rPr>
        <w:t xml:space="preserve">standing message types</w:t>
      </w:r>
      <w:r>
        <w:t xml:space="preserve">. Mixing tones across audiences is a common failure mode that this segmentation prevents.</w:t>
      </w:r>
    </w:p>
    <w:p>
      <w:pPr>
        <w:numPr>
          <w:ilvl w:val="0"/>
          <w:numId w:val="1006"/>
        </w:numPr>
        <w:pStyle w:val="Compact"/>
      </w:pPr>
      <w:r>
        <w:rPr>
          <w:b/>
        </w:rPr>
        <w:t xml:space="preserve">Escalation triggers are calibrated to the project’s contract value and commercial structure.</w:t>
      </w:r>
      <w:r>
        <w:t xml:space="preserve"> </w:t>
      </w:r>
      <w:r>
        <w:t xml:space="preserve">The Riverside triggers (e.g., single-branch cost variance &gt;$200k) are not universal — they are sized to Riverside’s $42M contract. A larger project (e.g., Mariposa at $148M) requires larger thresholds. The trigger structure carries over; the numbers re-size.</w:t>
      </w:r>
    </w:p>
    <w:p>
      <w:pPr>
        <w:numPr>
          <w:ilvl w:val="0"/>
          <w:numId w:val="1006"/>
        </w:numPr>
        <w:pStyle w:val="Compact"/>
      </w:pPr>
      <w:r>
        <w:rPr>
          <w:b/>
        </w:rPr>
        <w:t xml:space="preserve">Standing rhythm and crisis plan are separate documents within the same plan.</w:t>
      </w:r>
      <w:r>
        <w:t xml:space="preserve"> </w:t>
      </w:r>
      <w:r>
        <w:t xml:space="preserve">§5 is normal-state; §6 is breakdown-state. Templating the most-likely crisis classes (process upset, equipment slip, LTI) in advance prevents improvised crisis communication.</w:t>
      </w:r>
    </w:p>
    <w:p>
      <w:pPr>
        <w:numPr>
          <w:ilvl w:val="0"/>
          <w:numId w:val="1006"/>
        </w:numPr>
        <w:pStyle w:val="Compact"/>
      </w:pPr>
      <w:r>
        <w:rPr>
          <w:b/>
        </w:rPr>
        <w:t xml:space="preserve">Hedging discipline on inferred cadences and triggers.</w:t>
      </w:r>
      <w:r>
        <w:t xml:space="preserve"> </w:t>
      </w:r>
      <w:r>
        <w:t xml:space="preserve">Where a cadence or trigger threshold has not been confirmed against charter §11 governance or a written client agreement, flag with the inline italic annotation. Per-item discipline, not section-wide.</w:t>
      </w:r>
    </w:p>
    <w:p>
      <w:pPr>
        <w:pStyle w:val="Heading2"/>
      </w:pPr>
      <w:bookmarkStart w:id="35" w:name="notes-for-downstream-agents"/>
      <w:r>
        <w:t xml:space="preserve">8. Notes for downstream agents</w:t>
      </w:r>
      <w:bookmarkEnd w:id="35"/>
    </w:p>
    <w:p>
      <w:pPr>
        <w:numPr>
          <w:ilvl w:val="0"/>
          <w:numId w:val="1007"/>
        </w:numPr>
        <w:pStyle w:val="Compact"/>
      </w:pPr>
      <w:r>
        <w:rPr>
          <w:b/>
        </w:rPr>
        <w:t xml:space="preserve">Status Reporter.</w:t>
      </w:r>
      <w:r>
        <w:t xml:space="preserve"> </w:t>
      </w:r>
      <w:r>
        <w:t xml:space="preserve">This plan defines the cadence and audience for status reports (monthly written to client; monthly portfolio dashboard to Sponsor; weekly internal). Status Reporter outputs follow the format committed here. Crisis-state communications under §6 take precedence over the standing rhythm; a status report following a §6 event includes the event and Northwood’s response.</w:t>
      </w:r>
    </w:p>
    <w:p>
      <w:pPr>
        <w:numPr>
          <w:ilvl w:val="0"/>
          <w:numId w:val="1007"/>
        </w:numPr>
        <w:pStyle w:val="Compact"/>
      </w:pPr>
      <w:r>
        <w:rPr>
          <w:b/>
        </w:rPr>
        <w:t xml:space="preserve">Change Order Reviewer.</w:t>
      </w:r>
      <w:r>
        <w:t xml:space="preserve"> </w:t>
      </w:r>
      <w:r>
        <w:t xml:space="preserve">Change orders flow through the client-side communication channels in §3.1 (Client PM as the formal channel; Public Works Director and City Council briefed via PWD per political-visibility threshold). The crisis-class trigger for latent-defect-driven change orders is the T&amp;M variation request in §4 — Change Order Reviewer should produce the variation-request package consistent with this trigger structure.</w:t>
      </w:r>
    </w:p>
    <w:p>
      <w:pPr>
        <w:numPr>
          <w:ilvl w:val="0"/>
          <w:numId w:val="1007"/>
        </w:numPr>
        <w:pStyle w:val="Compact"/>
      </w:pPr>
      <w:r>
        <w:rPr>
          <w:b/>
        </w:rPr>
        <w:t xml:space="preserve">Variance Analyst.</w:t>
      </w:r>
      <w:r>
        <w:t xml:space="preserve"> </w:t>
      </w:r>
      <w:r>
        <w:t xml:space="preserve">Cost and schedule variance reports use the cadences and audiences defined here. Variance events crossing the escalation thresholds in §4 follow the time-to-escalate windows; Variance Analyst’s role is to detect and flag, not to communicate — the escalation itself goes through the PM, Project Director, or Sponsor per the trigger.</w:t>
      </w:r>
    </w:p>
    <w:p>
      <w:pPr>
        <w:numPr>
          <w:ilvl w:val="0"/>
          <w:numId w:val="1007"/>
        </w:numPr>
        <w:pStyle w:val="Compact"/>
      </w:pPr>
      <w:r>
        <w:rPr>
          <w:b/>
        </w:rPr>
        <w:t xml:space="preserve">Issue Logger.</w:t>
      </w:r>
      <w:r>
        <w:t xml:space="preserve"> </w:t>
      </w:r>
      <w:r>
        <w:t xml:space="preserve">Operational issues route into the weekly internal status meeting; issues crossing the §4 escalation thresholds get a separate written brief per the trigger.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2026-05-23T21:04:35Z</dcterms:created>
  <dcterms:modified xsi:type="dcterms:W3CDTF">2026-05-23T21:04:35Z</dcterms:modified>
</cp:coreProperties>
</file>

<file path=docProps/custom.xml><?xml version="1.0" encoding="utf-8"?>
<Properties xmlns="http://schemas.openxmlformats.org/officeDocument/2006/custom-properties" xmlns:vt="http://schemas.openxmlformats.org/officeDocument/2006/docPropsVTypes"/>
</file>