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0889c5fe19bc4d943e9f80425bc48a56a12854"/>
      <w:r>
        <w:t xml:space="preserve">Weekly Status — Riverside Water Reclamation Phase 2 Expansion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NW-WW-2103 Riverside Water Reclamation Phase 2 Expansion</w:t>
      </w:r>
      <w:r>
        <w:t xml:space="preserve"> </w:t>
      </w:r>
      <w:r>
        <w:rPr>
          <w:b/>
        </w:rPr>
        <w:t xml:space="preserve">Reporting period:</w:t>
      </w:r>
      <w:r>
        <w:t xml:space="preserve"> </w:t>
      </w:r>
      <w:r>
        <w:t xml:space="preserve">Week 36 of construction (ending Sunday)</w:t>
      </w:r>
      <w:r>
        <w:t xml:space="preserve"> </w:t>
      </w:r>
      <w:r>
        <w:rPr>
          <w:b/>
        </w:rPr>
        <w:t xml:space="preserve">PM:</w:t>
      </w:r>
      <w:r>
        <w:t xml:space="preserve"> </w:t>
      </w:r>
      <w:r>
        <w:t xml:space="preserve">M. Acharya</w:t>
      </w:r>
      <w:r>
        <w:t xml:space="preserve"> </w:t>
      </w:r>
      <w:r>
        <w:rPr>
          <w:b/>
        </w:rPr>
        <w:t xml:space="preserve">Status (overall):</w:t>
      </w:r>
      <w:r>
        <w:t xml:space="preserve"> </w:t>
      </w:r>
      <w:r>
        <w:t xml:space="preserve">Amber — Blower delivery slip threatens commissioning sequence</w:t>
      </w:r>
    </w:p>
    <w:p>
      <w:pPr>
        <w:pStyle w:val="Heading2"/>
      </w:pPr>
      <w:bookmarkStart w:id="21" w:name="headline"/>
      <w:r>
        <w:t xml:space="preserve">Headline</w:t>
      </w:r>
      <w:bookmarkEnd w:id="21"/>
    </w:p>
    <w:p>
      <w:pPr>
        <w:pStyle w:val="FirstParagraph"/>
      </w:pPr>
      <w:r>
        <w:t xml:space="preserve">Confirmed 8-week delay on Train B blower shipment from the European OEM (now expected dock 22 November, was 27 September). This consumes the remaining schedule contingency on the commissioning sequence and creates a hard conflict with the December performance test window. Mitigation in progress; Sponsor decision needed by 30 October on whether to commit to a Plan B partial commissioning sequence.</w:t>
      </w:r>
    </w:p>
    <w:p>
      <w:pPr>
        <w:pStyle w:val="Heading2"/>
      </w:pPr>
      <w:bookmarkStart w:id="22" w:name="progress"/>
      <w:r>
        <w:t xml:space="preserve">Progress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Engineering:</w:t>
      </w:r>
      <w:r>
        <w:t xml:space="preserve"> </w:t>
      </w:r>
      <w:r>
        <w:t xml:space="preserve">98% complete. Final close-out drawings for Train B controls in review.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Procurement:</w:t>
      </w:r>
      <w:r>
        <w:t xml:space="preserve"> </w:t>
      </w:r>
      <w:r>
        <w:t xml:space="preserve">Train A blower delivered to site 12 September; uncrated, no damage. Train B blower delay confirmed by OEM.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Construction:</w:t>
      </w:r>
      <w:r>
        <w:t xml:space="preserve"> </w:t>
      </w:r>
      <w:r>
        <w:t xml:space="preserve">Train A basin civil works 100%; M&amp;E install 88%. Train B basin civil works 100%; M&amp;E install 64%. Tertiary filter retrofit 78%.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Commissioning / handover:</w:t>
      </w:r>
      <w:r>
        <w:t xml:space="preserve"> </w:t>
      </w:r>
      <w:r>
        <w:t xml:space="preserve">N/A (commissioning starts post 30 September).</w:t>
      </w:r>
    </w:p>
    <w:p>
      <w:pPr>
        <w:pStyle w:val="Heading2"/>
      </w:pPr>
      <w:bookmarkStart w:id="23" w:name="schedule"/>
      <w:r>
        <w:t xml:space="preserve">Schedule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Variance to plan:</w:t>
      </w:r>
      <w:r>
        <w:t xml:space="preserve"> </w:t>
      </w:r>
      <w:r>
        <w:t xml:space="preserve">-3 weeks against current baseline (after this week’s blower slip).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path:</w:t>
      </w:r>
      <w:r>
        <w:t xml:space="preserve"> </w:t>
      </w:r>
      <w:r>
        <w:t xml:space="preserve">Train B commissioning. No float remaining.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Forecast completion:</w:t>
      </w:r>
      <w:r>
        <w:t xml:space="preserve"> </w:t>
      </w:r>
      <w:r>
        <w:t xml:space="preserve">6–8 weeks late if Plan A commissioning sequence is maintained; 0–2 weeks late if Plan B (Train A early commissioning, Train B sequenced after) is approved.</w:t>
      </w:r>
    </w:p>
    <w:p>
      <w:pPr>
        <w:pStyle w:val="Heading2"/>
      </w:pPr>
      <w:bookmarkStart w:id="24" w:name="cost-and-commercial"/>
      <w:r>
        <w:t xml:space="preserve">Cost and commercial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Cost-to-date vs plan:</w:t>
      </w:r>
      <w:r>
        <w:t xml:space="preserve"> </w:t>
      </w:r>
      <w:r>
        <w:t xml:space="preserve">-$420k (under spend, primarily due to deferred Train B blower payment).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Forecast cost at completion vs budget:</w:t>
      </w:r>
      <w:r>
        <w:t xml:space="preserve"> </w:t>
      </w:r>
      <w:r>
        <w:t xml:space="preserve">+$680k (overrun, driven by expediting costs and overtime).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Margin trajectory:</w:t>
      </w:r>
      <w:r>
        <w:t xml:space="preserve"> </w:t>
      </w:r>
      <w:r>
        <w:t xml:space="preserve">dropping from 8.5% bid to a forecast 5.2%.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Active change orders:</w:t>
      </w:r>
      <w:r>
        <w:t xml:space="preserve"> </w:t>
      </w:r>
      <w:r>
        <w:t xml:space="preserve">CO-04 (additional UV disinfection capacity, $1.85M, client-approved); CO-07 (revised SCADA scope, $115k, in negotiation).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Claims exposure:</w:t>
      </w:r>
      <w:r>
        <w:t xml:space="preserve"> </w:t>
      </w:r>
      <w:r>
        <w:t xml:space="preserve">none active. Considering letter of intent on schedule impact tied to client-driven CO-04.</w:t>
      </w:r>
    </w:p>
    <w:p>
      <w:pPr>
        <w:pStyle w:val="Heading2"/>
      </w:pPr>
      <w:bookmarkStart w:id="25" w:name="risks-and-issues"/>
      <w:r>
        <w:t xml:space="preserve">Risks and issues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Escalated:</w:t>
      </w:r>
      <w:r>
        <w:t xml:space="preserve"> </w:t>
      </w:r>
      <w:r>
        <w:t xml:space="preserve">R-001 (long-lead blower delivery) now Triggered. Plan B commissioning sequence being prepared.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New:</w:t>
      </w:r>
      <w:r>
        <w:t xml:space="preserve"> </w:t>
      </w:r>
      <w:r>
        <w:t xml:space="preserve">R-014 — Risk that performance test cannot start until 15 January year+2 (vs planned 1 December year+1). Impacts state-mandated effluent compliance date.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Decision needed:</w:t>
      </w:r>
      <w:r>
        <w:t xml:space="preserve"> </w:t>
      </w:r>
      <w:r>
        <w:t xml:space="preserve">Sponsor to approve or reject Plan B commissioning sequence by 30 October. Plan B option document attached to this report.</w:t>
      </w:r>
    </w:p>
    <w:p>
      <w:pPr>
        <w:pStyle w:val="Heading2"/>
      </w:pPr>
      <w:bookmarkStart w:id="26" w:name="safety-quality-environment"/>
      <w:r>
        <w:t xml:space="preserve">Safety / quality / environment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Zero LTIs to date. One first-aid case (minor cut, ground crew) this week.</w:t>
      </w:r>
    </w:p>
    <w:p>
      <w:pPr>
        <w:numPr>
          <w:ilvl w:val="0"/>
          <w:numId w:val="1005"/>
        </w:numPr>
        <w:pStyle w:val="Compact"/>
      </w:pPr>
      <w:r>
        <w:t xml:space="preserve">NCR-12 (tertiary filter media — out-of-spec batch) closed; replacement media on site, installation this week.</w:t>
      </w:r>
    </w:p>
    <w:p>
      <w:pPr>
        <w:numPr>
          <w:ilvl w:val="0"/>
          <w:numId w:val="1005"/>
        </w:numPr>
        <w:pStyle w:val="Compact"/>
      </w:pPr>
      <w:r>
        <w:t xml:space="preserve">No environmental incidents.</w:t>
      </w:r>
    </w:p>
    <w:p>
      <w:pPr>
        <w:pStyle w:val="Heading2"/>
      </w:pPr>
      <w:bookmarkStart w:id="27" w:name="look-ahead-next-two-weeks"/>
      <w:r>
        <w:t xml:space="preserve">Look-ahead (next two weeks)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Train A mechanical completion (target 30 September).</w:t>
      </w:r>
    </w:p>
    <w:p>
      <w:pPr>
        <w:numPr>
          <w:ilvl w:val="0"/>
          <w:numId w:val="1006"/>
        </w:numPr>
        <w:pStyle w:val="Compact"/>
      </w:pPr>
      <w:r>
        <w:t xml:space="preserve">Plan B sequencing document to Sponsor by 25 October.</w:t>
      </w:r>
    </w:p>
    <w:p>
      <w:pPr>
        <w:numPr>
          <w:ilvl w:val="0"/>
          <w:numId w:val="1006"/>
        </w:numPr>
        <w:pStyle w:val="Compact"/>
      </w:pPr>
      <w:r>
        <w:t xml:space="preserve">Client coordination meeting on commissioning schedule, 28 October.</w:t>
      </w:r>
    </w:p>
    <w:p>
      <w:pPr>
        <w:numPr>
          <w:ilvl w:val="0"/>
          <w:numId w:val="1006"/>
        </w:numPr>
        <w:pStyle w:val="Compact"/>
      </w:pPr>
      <w:r>
        <w:t xml:space="preserve">State regulator pre-test walkthrough, 14 November.</w:t>
      </w:r>
    </w:p>
    <w:p>
      <w:pPr>
        <w:pStyle w:val="Heading2"/>
      </w:pPr>
      <w:bookmarkStart w:id="28" w:name="asks"/>
      <w:r>
        <w:t xml:space="preserve">Asks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Sponsor decision on Plan B commissioning sequence, by 30 October. Owner: VP Water &amp; Wastewater.</w:t>
      </w:r>
    </w:p>
    <w:p>
      <w:pPr>
        <w:numPr>
          <w:ilvl w:val="0"/>
          <w:numId w:val="1007"/>
        </w:numPr>
        <w:pStyle w:val="Compact"/>
      </w:pPr>
      <w:r>
        <w:t xml:space="preserve">Director approval for $115k CO-07 internal cost release pending client signature. Owner: R. Tannehill.</w:t>
      </w:r>
    </w:p>
    <w:p>
      <w:pPr>
        <w:numPr>
          <w:ilvl w:val="0"/>
          <w:numId w:val="1007"/>
        </w:numPr>
        <w:pStyle w:val="Compact"/>
      </w:pPr>
      <w:r>
        <w:t xml:space="preserve">Procurement support to expedite Train B blower at OEM factory. Owner: Procurement Manager.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2026-05-18T20:06:32Z</dcterms:created>
  <dcterms:modified xsi:type="dcterms:W3CDTF">2026-05-18T20:06:32Z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