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0889c5fe19bc4d943e9f80425bc48a56a12854"/>
      <w:r>
        <w:t xml:space="preserve">Weekly Status — Riverside Water Reclamation Phase 2 Expansion</w:t>
      </w:r>
      <w:bookmarkEnd w:id="20"/>
    </w:p>
    <w:p>
      <w:pPr>
        <w:pStyle w:val="FirstParagraph"/>
      </w:pPr>
      <w:r>
        <w:rPr>
          <w:b/>
        </w:rPr>
        <w:t xml:space="preserve">Project:</w:t>
      </w:r>
      <w:r>
        <w:t xml:space="preserve"> </w:t>
      </w:r>
      <w:r>
        <w:t xml:space="preserve">NW-WW-2103 Riverside Water Reclamation Phase 2 Expansion</w:t>
      </w:r>
      <w:r>
        <w:t xml:space="preserve"> </w:t>
      </w:r>
      <w:r>
        <w:rPr>
          <w:b/>
        </w:rPr>
        <w:t xml:space="preserve">Reporting period:</w:t>
      </w:r>
      <w:r>
        <w:t xml:space="preserve"> </w:t>
      </w:r>
      <w:r>
        <w:t xml:space="preserve">Week 72 of construction (ending Sunday)</w:t>
      </w:r>
      <w:r>
        <w:t xml:space="preserve"> </w:t>
      </w:r>
      <w:r>
        <w:rPr>
          <w:b/>
        </w:rPr>
        <w:t xml:space="preserve">PM:</w:t>
      </w:r>
      <w:r>
        <w:t xml:space="preserve"> </w:t>
      </w:r>
      <w:r>
        <w:t xml:space="preserve">M. Acharya</w:t>
      </w:r>
      <w:r>
        <w:t xml:space="preserve"> </w:t>
      </w:r>
      <w:r>
        <w:rPr>
          <w:b/>
        </w:rPr>
        <w:t xml:space="preserve">Status (overall):</w:t>
      </w:r>
      <w:r>
        <w:t xml:space="preserve"> </w:t>
      </w:r>
      <w:r>
        <w:t xml:space="preserve">Green — Performance test passed first attempt</w:t>
      </w:r>
    </w:p>
    <w:p>
      <w:pPr>
        <w:pStyle w:val="Heading2"/>
      </w:pPr>
      <w:bookmarkStart w:id="21" w:name="headline"/>
      <w:r>
        <w:t xml:space="preserve">Headline</w:t>
      </w:r>
      <w:bookmarkEnd w:id="21"/>
    </w:p>
    <w:p>
      <w:pPr>
        <w:pStyle w:val="FirstParagraph"/>
      </w:pPr>
      <w:r>
        <w:t xml:space="preserve">30-day continuous performance test completed successfully on Tuesday. All effluent parameters within state-permit limits including the new TN and TP thresholds. State regulator signed off on Wednesday. Substantial Completion certificate executed Thursday. Project moves into 24-month warranty period.</w:t>
      </w:r>
    </w:p>
    <w:p>
      <w:pPr>
        <w:pStyle w:val="Heading2"/>
      </w:pPr>
      <w:bookmarkStart w:id="22" w:name="progress"/>
      <w:r>
        <w:t xml:space="preserve">Progress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Engineering:</w:t>
      </w:r>
      <w:r>
        <w:t xml:space="preserve"> </w:t>
      </w:r>
      <w:r>
        <w:t xml:space="preserve">100% complete; as-built drawings issued to client.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Procurement:</w:t>
      </w:r>
      <w:r>
        <w:t xml:space="preserve"> </w:t>
      </w:r>
      <w:r>
        <w:t xml:space="preserve">all equipment closed out, vendor warranties registered.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Construction:</w:t>
      </w:r>
      <w:r>
        <w:t xml:space="preserve"> </w:t>
      </w:r>
      <w:r>
        <w:t xml:space="preserve">100% complete; punch list closed Friday.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Commissioning / handover:</w:t>
      </w:r>
      <w:r>
        <w:t xml:space="preserve"> </w:t>
      </w:r>
      <w:r>
        <w:t xml:space="preserve">Substantial Completion achieved 6 weeks behind original baseline, 0 weeks behind Plan B baseline.</w:t>
      </w:r>
    </w:p>
    <w:p>
      <w:pPr>
        <w:pStyle w:val="Heading2"/>
      </w:pPr>
      <w:bookmarkStart w:id="23" w:name="schedule"/>
      <w:r>
        <w:t xml:space="preserve">Schedule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Variance to plan:</w:t>
      </w:r>
      <w:r>
        <w:t xml:space="preserve"> </w:t>
      </w:r>
      <w:r>
        <w:t xml:space="preserve">-6 weeks against original baseline; 0 weeks against approved Plan B baseline.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Critical path:</w:t>
      </w:r>
      <w:r>
        <w:t xml:space="preserve"> </w:t>
      </w:r>
      <w:r>
        <w:t xml:space="preserve">N/A (project complete).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Forecast completion:</w:t>
      </w:r>
      <w:r>
        <w:t xml:space="preserve"> </w:t>
      </w:r>
      <w:r>
        <w:t xml:space="preserve">Substantial Completion 12 March year+2 (delivered 11 March).</w:t>
      </w:r>
    </w:p>
    <w:p>
      <w:pPr>
        <w:pStyle w:val="Heading2"/>
      </w:pPr>
      <w:bookmarkStart w:id="24" w:name="cost-and-commercial"/>
      <w:r>
        <w:t xml:space="preserve">Cost and commercial</w:t>
      </w:r>
      <w:bookmarkEnd w:id="2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Cost-to-date vs plan:</w:t>
      </w:r>
      <w:r>
        <w:t xml:space="preserve"> </w:t>
      </w:r>
      <w:r>
        <w:t xml:space="preserve">+$1.4M overrun against original budget; +$0.2M against revised budget (post change orders).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Forecast cost at completion vs budget:</w:t>
      </w:r>
      <w:r>
        <w:t xml:space="preserve"> </w:t>
      </w:r>
      <w:r>
        <w:t xml:space="preserve">Final cost confirmed at $40.3M against budget $38.4M.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Margin trajectory:</w:t>
      </w:r>
      <w:r>
        <w:t xml:space="preserve"> </w:t>
      </w:r>
      <w:r>
        <w:t xml:space="preserve">Final margin 4.1% (against bid 8.5%).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Active change orders:</w:t>
      </w:r>
      <w:r>
        <w:t xml:space="preserve"> </w:t>
      </w:r>
      <w:r>
        <w:t xml:space="preserve">all closed. Final value: +$2.1M added to contract scope.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Liquidated damages:</w:t>
      </w:r>
      <w:r>
        <w:t xml:space="preserve"> </w:t>
      </w:r>
      <w:r>
        <w:t xml:space="preserve">$560k assessed (6 weeks × 0.4% × $42M, partially recovered through client-driven CO claim).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Claims:</w:t>
      </w:r>
      <w:r>
        <w:t xml:space="preserve"> </w:t>
      </w:r>
      <w:r>
        <w:t xml:space="preserve">Schedule-impact claim against CO-04 settled at $340k recovered.</w:t>
      </w:r>
    </w:p>
    <w:p>
      <w:pPr>
        <w:pStyle w:val="Heading2"/>
      </w:pPr>
      <w:bookmarkStart w:id="25" w:name="risks-and-issues"/>
      <w:r>
        <w:t xml:space="preserve">Risks and issues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All open risks closed at handover.</w:t>
      </w:r>
    </w:p>
    <w:p>
      <w:pPr>
        <w:numPr>
          <w:ilvl w:val="0"/>
          <w:numId w:val="1004"/>
        </w:numPr>
        <w:pStyle w:val="Compact"/>
      </w:pPr>
      <w:r>
        <w:t xml:space="preserve">Lessons-learned write-up issued separately. Headline lesson: single-sourced critical-path equipment is a category-level risk requiring portfolio-level supplier diversification.</w:t>
      </w:r>
    </w:p>
    <w:p>
      <w:pPr>
        <w:pStyle w:val="Heading2"/>
      </w:pPr>
      <w:bookmarkStart w:id="26" w:name="safety-quality-environment"/>
      <w:r>
        <w:t xml:space="preserve">Safety / quality / environment</w:t>
      </w:r>
      <w:bookmarkEnd w:id="26"/>
    </w:p>
    <w:p>
      <w:pPr>
        <w:numPr>
          <w:ilvl w:val="0"/>
          <w:numId w:val="1005"/>
        </w:numPr>
        <w:pStyle w:val="Compact"/>
      </w:pPr>
      <w:r>
        <w:t xml:space="preserve">Zero LTIs across the entire project. 4 first-aid cases over 18 months on site. Zero environmental incidents. Two NCRs raised, both closed within 30 days.</w:t>
      </w:r>
    </w:p>
    <w:p>
      <w:pPr>
        <w:pStyle w:val="Heading2"/>
      </w:pPr>
      <w:bookmarkStart w:id="27" w:name="look-ahead-next-two-weeks"/>
      <w:r>
        <w:t xml:space="preserve">Look-ahead (next two weeks)</w:t>
      </w:r>
      <w:bookmarkEnd w:id="27"/>
    </w:p>
    <w:p>
      <w:pPr>
        <w:numPr>
          <w:ilvl w:val="0"/>
          <w:numId w:val="1006"/>
        </w:numPr>
        <w:pStyle w:val="Compact"/>
      </w:pPr>
      <w:r>
        <w:t xml:space="preserve">Final invoice submission to client, 18 March.</w:t>
      </w:r>
    </w:p>
    <w:p>
      <w:pPr>
        <w:numPr>
          <w:ilvl w:val="0"/>
          <w:numId w:val="1006"/>
        </w:numPr>
        <w:pStyle w:val="Compact"/>
      </w:pPr>
      <w:r>
        <w:t xml:space="preserve">50% retention release expected, 30 April.</w:t>
      </w:r>
    </w:p>
    <w:p>
      <w:pPr>
        <w:numPr>
          <w:ilvl w:val="0"/>
          <w:numId w:val="1006"/>
        </w:numPr>
        <w:pStyle w:val="Compact"/>
      </w:pPr>
      <w:r>
        <w:t xml:space="preserve">Project closeout review with Sponsor, 25 March.</w:t>
      </w:r>
    </w:p>
    <w:p>
      <w:pPr>
        <w:numPr>
          <w:ilvl w:val="0"/>
          <w:numId w:val="1006"/>
        </w:numPr>
        <w:pStyle w:val="Compact"/>
      </w:pPr>
      <w:r>
        <w:t xml:space="preserve">Warranty period commences immediately. Quarterly check-ins scheduled.</w:t>
      </w:r>
    </w:p>
    <w:p>
      <w:pPr>
        <w:pStyle w:val="Heading2"/>
      </w:pPr>
      <w:bookmarkStart w:id="28" w:name="asks"/>
      <w:r>
        <w:t xml:space="preserve">Asks</w:t>
      </w:r>
      <w:bookmarkEnd w:id="28"/>
    </w:p>
    <w:p>
      <w:pPr>
        <w:numPr>
          <w:ilvl w:val="0"/>
          <w:numId w:val="1007"/>
        </w:numPr>
        <w:pStyle w:val="Compact"/>
      </w:pPr>
      <w:r>
        <w:t xml:space="preserve">Sponsor approval to release project team back to portfolio, effective 30 March. Owner: VP Water &amp; Wastewater.</w:t>
      </w:r>
    </w:p>
    <w:p>
      <w:pPr>
        <w:numPr>
          <w:ilvl w:val="0"/>
          <w:numId w:val="1007"/>
        </w:numPr>
        <w:pStyle w:val="Compact"/>
      </w:pPr>
      <w:r>
        <w:t xml:space="preserve">Director to chair closeout review and lessons-learned session, 25 March. Owner: R. Tannehill.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2026-05-18T20:06:32Z</dcterms:created>
  <dcterms:modified xsi:type="dcterms:W3CDTF">2026-05-18T20:06:32Z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