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704e4ddbb07d9d502264da3fc3eaa60dd9dd00"/>
      <w:r>
        <w:t xml:space="preserve">Risk Register — Riverside Water Reclamation Phase 2 Expansion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NW-WW-2103</w:t>
      </w:r>
      <w:r>
        <w:t xml:space="preserve"> </w:t>
      </w:r>
      <w:r>
        <w:rPr>
          <w:b/>
        </w:rPr>
        <w:t xml:space="preserve">Status snapshot:</w:t>
      </w:r>
      <w:r>
        <w:t xml:space="preserve"> </w:t>
      </w:r>
      <w:r>
        <w:t xml:space="preserve">End of project (handover + 1 month). All risks closed.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R-001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Long-lead blower delivery from sole European OEM may exceed 32 weeks, leading to commissioning slip.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PO release, weekly expediting, secondary OEM qualification</w:t>
            </w:r>
          </w:p>
        </w:tc>
        <w:tc>
          <w:p>
            <w:pPr>
              <w:pStyle w:val="Compact"/>
              <w:jc w:val="left"/>
            </w:pPr>
            <w:r>
              <w:t xml:space="preserve">Procurement Manager</w:t>
            </w:r>
          </w:p>
        </w:tc>
        <w:tc>
          <w:p>
            <w:pPr>
              <w:pStyle w:val="Compact"/>
              <w:jc w:val="left"/>
            </w:pPr>
            <w:r>
              <w:t xml:space="preserve">OEM confirms shipment delay &gt; 4 weeks at any milestone review</w:t>
            </w:r>
          </w:p>
        </w:tc>
        <w:tc>
          <w:p>
            <w:pPr>
              <w:pStyle w:val="Compact"/>
              <w:jc w:val="left"/>
            </w:pPr>
            <w:r>
              <w:t xml:space="preserve">Closed (Triggered Wk 35; Plan B commissioning sequence approved Wk 36)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R-002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Client may issue late scope change for UV disinfection capacity, eroding margin if priced thin.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Transfer — formal change-order with pre-agreed unit rates in master agreement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Client raises UV requirement in design review</w:t>
            </w:r>
          </w:p>
        </w:tc>
        <w:tc>
          <w:p>
            <w:pPr>
              <w:pStyle w:val="Compact"/>
              <w:jc w:val="left"/>
            </w:pPr>
            <w:r>
              <w:t xml:space="preserve">Closed (CO-04 executed Wk 14, $1.85M added at 6% margin)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R-003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Plant shutdown windows for tie-ins may exceed permitted hours, breaching consent.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Mitigate — detailed sequencing, dry runs, plant-superintendent weekly coordination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Any tie-in projected to exceed 36-hour shutdown window</w:t>
            </w:r>
          </w:p>
        </w:tc>
        <w:tc>
          <w:p>
            <w:pPr>
              <w:pStyle w:val="Compact"/>
              <w:jc w:val="left"/>
            </w:pPr>
            <w:r>
              <w:t xml:space="preserve">Closed (4 tie-ins executed; longest 30 hours)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R-004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Effluent performance test may fail on TN limit if biological reactor sizing too conservative.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design margin on basin volume, third-party process validation review pre-construction</w:t>
            </w:r>
          </w:p>
        </w:tc>
        <w:tc>
          <w:p>
            <w:pPr>
              <w:pStyle w:val="Compact"/>
              <w:jc w:val="left"/>
            </w:pPr>
            <w:r>
              <w:t xml:space="preserve">Process 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TN trending &gt; 7 mg/L during pre-test runs</w:t>
            </w:r>
          </w:p>
        </w:tc>
        <w:tc>
          <w:p>
            <w:pPr>
              <w:pStyle w:val="Compact"/>
              <w:jc w:val="left"/>
            </w:pPr>
            <w:r>
              <w:t xml:space="preserve">Closed (test passed first attempt)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R-005</w:t>
            </w:r>
          </w:p>
        </w:tc>
        <w:tc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Civil sub-contractor may fail to perform, given prior performance issues on a peer project.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prequalification, performance bond, monthly cash-flow tracking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Sub falls &gt; 2 weeks behind committed schedule</w:t>
            </w:r>
          </w:p>
        </w:tc>
        <w:tc>
          <w:p>
            <w:pPr>
              <w:pStyle w:val="Compact"/>
              <w:jc w:val="left"/>
            </w:pPr>
            <w:r>
              <w:t xml:space="preserve">Closed (sub performed adequately; one cash-flow intervention required)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R-006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New state standard effective 30 March year+2 — no schedule slip possible past this date without permit consequence.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Avoid — Plan B sequencing locked to deliver before this date</w:t>
            </w:r>
          </w:p>
        </w:tc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Forecast completion projects past 1 March year+2</w:t>
            </w:r>
          </w:p>
        </w:tc>
        <w:tc>
          <w:p>
            <w:pPr>
              <w:pStyle w:val="Compact"/>
              <w:jc w:val="left"/>
            </w:pPr>
            <w:r>
              <w:t xml:space="preserve">Closed (Substantial Completion 11 March year+2, before deadline)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R-007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Client may reassign their PM during project, causing decision delays.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Accept — escalation path documented, weekly client check-in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Client PM out of role</w:t>
            </w:r>
          </w:p>
        </w:tc>
        <w:tc>
          <w:p>
            <w:pPr>
              <w:pStyle w:val="Compact"/>
              <w:jc w:val="left"/>
            </w:pPr>
            <w:r>
              <w:t xml:space="preserve">Closed (no reassignment)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R-008</w:t>
            </w:r>
          </w:p>
        </w:tc>
        <w:tc>
          <w:p>
            <w:pPr>
              <w:pStyle w:val="Compact"/>
              <w:jc w:val="left"/>
            </w:pPr>
            <w:r>
              <w:t xml:space="preserve">Safety / HSE</w:t>
            </w:r>
          </w:p>
        </w:tc>
        <w:tc>
          <w:p>
            <w:pPr>
              <w:pStyle w:val="Compact"/>
              <w:jc w:val="left"/>
            </w:pPr>
            <w:r>
              <w:t xml:space="preserve">Confined-space entry for tie-ins carries elevated incident risk.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written confined-space procedures, daily JSAs, dedicated safety stand-down before each tie-in</w:t>
            </w:r>
          </w:p>
        </w:tc>
        <w:tc>
          <w:p>
            <w:pPr>
              <w:pStyle w:val="Compact"/>
              <w:jc w:val="left"/>
            </w:pPr>
            <w:r>
              <w:t xml:space="preserve">HSE Lead</w:t>
            </w:r>
          </w:p>
        </w:tc>
        <w:tc>
          <w:p>
            <w:pPr>
              <w:pStyle w:val="Compact"/>
              <w:jc w:val="left"/>
            </w:pPr>
            <w:r>
              <w:t xml:space="preserve">Any near-miss reported during a tie-in</w:t>
            </w:r>
          </w:p>
        </w:tc>
        <w:tc>
          <w:p>
            <w:pPr>
              <w:pStyle w:val="Compact"/>
              <w:jc w:val="left"/>
            </w:pPr>
            <w:r>
              <w:t xml:space="preserve">Closed (zero incidents)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R-009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SCADA upgrade integration may introduce process upsets affecting effluent compliance.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staged commissioning, parallel running of old and new SCADA, rollback plan</w:t>
            </w:r>
          </w:p>
        </w:tc>
        <w:tc>
          <w:p>
            <w:pPr>
              <w:pStyle w:val="Compact"/>
              <w:jc w:val="left"/>
            </w:pPr>
            <w:r>
              <w:t xml:space="preserve">I&amp;C Lead</w:t>
            </w:r>
          </w:p>
        </w:tc>
        <w:tc>
          <w:p>
            <w:pPr>
              <w:pStyle w:val="Compact"/>
              <w:jc w:val="left"/>
            </w:pPr>
            <w:r>
              <w:t xml:space="preserve">Any process variance &gt; 10% on parallel-running data</w:t>
            </w:r>
          </w:p>
        </w:tc>
        <w:tc>
          <w:p>
            <w:pPr>
              <w:pStyle w:val="Compact"/>
              <w:jc w:val="left"/>
            </w:pPr>
            <w:r>
              <w:t xml:space="preserve">Closed (no upsets; cutover successful)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R-010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Currency exposure on European blower POs (~$3.2M total).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Transfer — forward currency contract at PO release</w:t>
            </w:r>
          </w:p>
        </w:tc>
        <w:tc>
          <w:p>
            <w:pPr>
              <w:pStyle w:val="Compact"/>
              <w:jc w:val="left"/>
            </w:pPr>
            <w:r>
              <w:t xml:space="preserve">Procurement Manager</w:t>
            </w:r>
          </w:p>
        </w:tc>
        <w:tc>
          <w:p>
            <w:pPr>
              <w:pStyle w:val="Compact"/>
              <w:jc w:val="left"/>
            </w:pPr>
            <w:r>
              <w:t xml:space="preserve">EUR/USD moves &gt; 5% between PO date and payment</w:t>
            </w:r>
          </w:p>
        </w:tc>
        <w:tc>
          <w:p>
            <w:pPr>
              <w:pStyle w:val="Compact"/>
              <w:jc w:val="left"/>
            </w:pPr>
            <w:r>
              <w:t xml:space="preserve">Closed (forward contracts hedged exposure; no material variance)</w:t>
            </w:r>
          </w:p>
        </w:tc>
      </w:tr>
    </w:tbl>
    <w:p>
      <w:pPr>
        <w:pStyle w:val="Heading2"/>
      </w:pPr>
      <w:bookmarkStart w:id="21" w:name="lessons-logged-from-this-register"/>
      <w:r>
        <w:t xml:space="preserve">Lessons logged from this register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Single-sourced critical-path equipment is a category-level risk.</w:t>
      </w:r>
      <w:r>
        <w:t xml:space="preserve"> </w:t>
      </w:r>
      <w:r>
        <w:t xml:space="preserve">R-001 alone consumed almost the entire project contingency. Northwood should require dual-source qualification for any critical-path equipment with lead time greater than 6 months.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 B sequencing exercises before the schedule is in trouble.</w:t>
      </w:r>
      <w:r>
        <w:t xml:space="preserve"> </w:t>
      </w:r>
      <w:r>
        <w:t xml:space="preserve">The Plan B commissioning sequence was conceived only after R-001 triggered. Future projects of similar scale should war-game alternative commissioning sequences during Engineering, not under pressure during Construction.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Currency hedging is consistently profitable.</w:t>
      </w:r>
      <w:r>
        <w:t xml:space="preserve"> </w:t>
      </w:r>
      <w:r>
        <w:t xml:space="preserve">Forward contracts on R-010 contributed positively to margin protection. Should be standard for any EUR/JPY exposure greater than $1M.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2026-05-18T20:06:32Z</dcterms:created>
  <dcterms:modified xsi:type="dcterms:W3CDTF">2026-05-18T20:06:32Z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