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kyhawk-solar-storage-phase-1"/>
      <w:r>
        <w:t xml:space="preserve">Skyhawk Solar + Storage — Phase 1</w:t>
      </w:r>
      <w:bookmarkEnd w:id="20"/>
    </w:p>
    <w:p>
      <w:pPr>
        <w:pStyle w:val="FirstParagraph"/>
      </w:pPr>
      <w:r>
        <w:rPr>
          <w:b/>
        </w:rPr>
        <w:t xml:space="preserve">Project ID:</w:t>
      </w:r>
      <w:r>
        <w:t xml:space="preserve"> </w:t>
      </w:r>
      <w:r>
        <w:t xml:space="preserve">NW-REN-2207</w:t>
      </w:r>
      <w:r>
        <w:t xml:space="preserve"> </w:t>
      </w:r>
      <w:r>
        <w:rPr>
          <w:b/>
        </w:rPr>
        <w:t xml:space="preserve">Status at archive:</w:t>
      </w:r>
      <w:r>
        <w:t xml:space="preserve"> </w:t>
      </w:r>
      <w:r>
        <w:t xml:space="preserve">Closed, handed over 9 months ago. End of warranty in 15 months.</w:t>
      </w:r>
      <w:r>
        <w:t xml:space="preserve"> </w:t>
      </w:r>
      <w:r>
        <w:rPr>
          <w:b/>
        </w:rPr>
        <w:t xml:space="preserve">Contract value:</w:t>
      </w:r>
      <w:r>
        <w:t xml:space="preserve"> </w:t>
      </w:r>
      <w:r>
        <w:t xml:space="preserve">$68 million, fixed-price.</w:t>
      </w:r>
      <w:r>
        <w:t xml:space="preserve"> </w:t>
      </w:r>
      <w:r>
        <w:rPr>
          <w:b/>
        </w:rPr>
        <w:t xml:space="preserve">Duration:</w:t>
      </w:r>
      <w:r>
        <w:t xml:space="preserve"> </w:t>
      </w:r>
      <w:r>
        <w:t xml:space="preserve">14 months Award to Substantial Completion. Delivered on schedule.</w:t>
      </w:r>
      <w:r>
        <w:t xml:space="preserve"> </w:t>
      </w:r>
      <w:r>
        <w:rPr>
          <w:b/>
        </w:rPr>
        <w:t xml:space="preserve">Final margin:</w:t>
      </w:r>
      <w:r>
        <w:t xml:space="preserve"> </w:t>
      </w:r>
      <w:r>
        <w:t xml:space="preserve">9.1% (against bid margin of 8.8%).</w:t>
      </w:r>
    </w:p>
    <w:p>
      <w:pPr>
        <w:pStyle w:val="Heading2"/>
      </w:pPr>
      <w:bookmarkStart w:id="21" w:name="what-the-project-did"/>
      <w:r>
        <w:t xml:space="preserve">What the project did</w:t>
      </w:r>
      <w:bookmarkEnd w:id="21"/>
    </w:p>
    <w:p>
      <w:pPr>
        <w:pStyle w:val="FirstParagraph"/>
      </w:pPr>
      <w:r>
        <w:t xml:space="preserve">200 MW utility-scale solar PV array with co-located 100 MWh / 4-hour lithium-iron-phosphate battery energy storage system, including substation, MV collection system, and grid interconnection at 230 kV. Client is an independent power producer; offtake under a 20-year PPA with a regional utility.</w:t>
      </w:r>
    </w:p>
    <w:p>
      <w:pPr>
        <w:pStyle w:val="Heading2"/>
      </w:pPr>
      <w:bookmarkStart w:id="22" w:name="why-this-one-went-well"/>
      <w:r>
        <w:t xml:space="preserve">Why this one went well</w:t>
      </w:r>
      <w:bookmarkEnd w:id="22"/>
    </w:p>
    <w:p>
      <w:pPr>
        <w:pStyle w:val="FirstParagraph"/>
      </w:pPr>
      <w:r>
        <w:t xml:space="preserve">Standard, mature technology stack. Northwood had delivered three similar solar projects in the previous two fiscal years; team continuity was high. Vendor relationships were established. Weather window was managed actively from Day 1 of construction. Battery storage was the only novel component; risk-managed via early factory acceptance testing of the BESS containers.</w:t>
      </w:r>
    </w:p>
    <w:p>
      <w:pPr>
        <w:pStyle w:val="Heading2"/>
      </w:pPr>
      <w:bookmarkStart w:id="23" w:name="notable-risks-managed"/>
      <w:r>
        <w:t xml:space="preserve">Notable risks managed</w:t>
      </w:r>
      <w:bookmarkEnd w:id="23"/>
    </w:p>
    <w:p>
      <w:pPr>
        <w:pStyle w:val="FirstParagraph"/>
      </w:pPr>
      <w:r>
        <w:t xml:space="preserve">Interconnection studies came in late from the utility and threatened to delay commissioning by 6 weeks. Recovered by reordering punch-list work and adding a second commissioning crew for two weeks. Cost impact: $180k overtime, absorbed within contingency.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2026-05-18T20:06:33Z</dcterms:created>
  <dcterms:modified xsi:type="dcterms:W3CDTF">2026-05-18T20:06:33Z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