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16b0528224397ac4d4aa271e34ce486ecd2686"/>
      <w:r>
        <w:t xml:space="preserve">Project Charter — Skyhawk Solar + Storage Phase 1</w:t>
      </w:r>
      <w:bookmarkEnd w:id="20"/>
    </w:p>
    <w:p>
      <w:pPr>
        <w:pStyle w:val="BlockText"/>
      </w:pPr>
      <w:r>
        <w:rPr>
          <w:b/>
        </w:rPr>
        <w:t xml:space="preserve">Note on this document’s role as a worked example.</w:t>
      </w:r>
      <w:r>
        <w:t xml:space="preserve"> </w:t>
      </w:r>
      <w:r>
        <w:t xml:space="preserve">This is the FINAL committed charter for Skyhawk, signed at the Award gate. When the Charter Drafter agent uses this as a worked example for drafting a new project’s charter, the commercial-baseline values (§7), governance thresholds (§11), and other inferred industry-standard defaults should be flagged with</w:t>
      </w:r>
      <w:r>
        <w:t xml:space="preserve"> </w:t>
      </w:r>
      <w:r>
        <w:rPr>
          <w:rStyle w:val="VerbatimChar"/>
        </w:rPr>
        <w:t xml:space="preserve">[NEEDS PM REVIEW: &lt;value&gt;]</w:t>
      </w:r>
      <w:r>
        <w:t xml:space="preserve"> </w:t>
      </w:r>
      <w:r>
        <w:t xml:space="preserve">at the draft stage, not committed as shown here. Inline annotations in italic below the relevant lines show the draft-stage form for each inferred value, so the desired pattern is visible. The final values shown are what the Skyhawk commercial team confirmed during the Award-gate review; a new project’s draft charter would have these in flagged form until the equivalent commercial confirmation.</w:t>
      </w:r>
    </w:p>
    <w:p>
      <w:pPr>
        <w:pStyle w:val="Heading2"/>
      </w:pPr>
      <w:bookmarkStart w:id="21" w:name="project-identification"/>
      <w:r>
        <w:t xml:space="preserve">1. Project identification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name:</w:t>
      </w:r>
      <w:r>
        <w:t xml:space="preserve"> </w:t>
      </w:r>
      <w:r>
        <w:t xml:space="preserve">Skyhawk Solar + Storage Phase 1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ID:</w:t>
      </w:r>
      <w:r>
        <w:t xml:space="preserve"> </w:t>
      </w:r>
      <w:r>
        <w:t xml:space="preserve">NW-REN-2207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Client:</w:t>
      </w:r>
      <w:r>
        <w:t xml:space="preserve"> </w:t>
      </w:r>
      <w:r>
        <w:t xml:space="preserve">Skyhawk Renewables LLC (IPP)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Contract type:</w:t>
      </w:r>
      <w:r>
        <w:t xml:space="preserve"> </w:t>
      </w:r>
      <w:r>
        <w:t xml:space="preserve">Fixed-price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Contract value:</w:t>
      </w:r>
      <w:r>
        <w:t xml:space="preserve"> </w:t>
      </w:r>
      <w:r>
        <w:t xml:space="preserve">$68.0 million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Effective date:</w:t>
      </w:r>
      <w:r>
        <w:t xml:space="preserve"> </w:t>
      </w:r>
      <w:r>
        <w:t xml:space="preserve">5 April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Target substantial completion date:</w:t>
      </w:r>
      <w:r>
        <w:t xml:space="preserve"> </w:t>
      </w:r>
      <w:r>
        <w:t xml:space="preserve">5 June, year+1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Sponsor (Northwood):</w:t>
      </w:r>
      <w:r>
        <w:t xml:space="preserve"> </w:t>
      </w:r>
      <w:r>
        <w:t xml:space="preserve">VP Renewables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Director:</w:t>
      </w:r>
      <w:r>
        <w:t xml:space="preserve"> </w:t>
      </w:r>
      <w:r>
        <w:t xml:space="preserve">L. Chen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Manager:</w:t>
      </w:r>
      <w:r>
        <w:t xml:space="preserve"> </w:t>
      </w:r>
      <w:r>
        <w:t xml:space="preserve">J. Okafor</w:t>
      </w:r>
    </w:p>
    <w:p>
      <w:pPr>
        <w:pStyle w:val="Heading2"/>
      </w:pPr>
      <w:bookmarkStart w:id="22" w:name="overview"/>
      <w:r>
        <w:t xml:space="preserve">2. Overview</w:t>
      </w:r>
      <w:bookmarkEnd w:id="22"/>
    </w:p>
    <w:p>
      <w:pPr>
        <w:pStyle w:val="FirstParagraph"/>
      </w:pPr>
      <w:r>
        <w:t xml:space="preserve">EPC delivery of a 200 MW solar photovoltaic generation facility with a co-located 100 MWh / 4-hour lithium-iron-phosphate battery energy storage system in the desert southwest. Northwood designs, procures and constructs the PV array, BESS, substation, MV collection system, and 230 kV grid interconnection. Client operates under a 20-year power purchase agreement with the regional utility.</w:t>
      </w:r>
    </w:p>
    <w:p>
      <w:pPr>
        <w:pStyle w:val="Heading2"/>
      </w:pPr>
      <w:bookmarkStart w:id="23" w:name="objectives"/>
      <w:r>
        <w:t xml:space="preserve">3. Objectives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Deliver 200 MW DC nameplate solar generation, verified through commissioning power test, by 5 June year+1.</w:t>
      </w:r>
    </w:p>
    <w:p>
      <w:pPr>
        <w:numPr>
          <w:ilvl w:val="0"/>
          <w:numId w:val="1002"/>
        </w:numPr>
        <w:pStyle w:val="Compact"/>
      </w:pPr>
      <w:r>
        <w:t xml:space="preserve">Deliver 100 MWh BESS with ≥95% round-trip efficiency at commissioning, sustained.</w:t>
      </w:r>
    </w:p>
    <w:p>
      <w:pPr>
        <w:numPr>
          <w:ilvl w:val="0"/>
          <w:numId w:val="1002"/>
        </w:numPr>
        <w:pStyle w:val="Compact"/>
      </w:pPr>
      <w:r>
        <w:t xml:space="preserve">Achieve grid interconnection energisation by 1 May year+1 to enable 35-day commissioning window.</w:t>
      </w:r>
    </w:p>
    <w:p>
      <w:pPr>
        <w:numPr>
          <w:ilvl w:val="0"/>
          <w:numId w:val="1002"/>
        </w:numPr>
        <w:pStyle w:val="Compact"/>
      </w:pPr>
      <w:r>
        <w:t xml:space="preserve">Deliver at or above 8.8% margin with cost variance within ±2% of approved budget.</w:t>
      </w:r>
    </w:p>
    <w:p>
      <w:pPr>
        <w:numPr>
          <w:ilvl w:val="0"/>
          <w:numId w:val="1002"/>
        </w:numPr>
        <w:pStyle w:val="Compact"/>
      </w:pPr>
      <w:r>
        <w:t xml:space="preserve">Zero lost-time injuries across construction.</w:t>
      </w:r>
    </w:p>
    <w:p>
      <w:pPr>
        <w:pStyle w:val="Heading2"/>
      </w:pPr>
      <w:bookmarkStart w:id="24" w:name="scope"/>
      <w:r>
        <w:t xml:space="preserve">4. Scope</w:t>
      </w:r>
      <w:bookmarkEnd w:id="24"/>
    </w:p>
    <w:p>
      <w:pPr>
        <w:pStyle w:val="Heading3"/>
      </w:pPr>
      <w:bookmarkStart w:id="25" w:name="in-scope"/>
      <w:r>
        <w:t xml:space="preserve">4.1 In scope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Detailed design of PV, BESS, substation, MV collection, interconnection.</w:t>
      </w:r>
    </w:p>
    <w:p>
      <w:pPr>
        <w:numPr>
          <w:ilvl w:val="0"/>
          <w:numId w:val="1003"/>
        </w:numPr>
        <w:pStyle w:val="Compact"/>
      </w:pPr>
      <w:r>
        <w:t xml:space="preserve">Procurement of modules, inverters, BESS containers, transformer, switchgear, racking.</w:t>
      </w:r>
    </w:p>
    <w:p>
      <w:pPr>
        <w:numPr>
          <w:ilvl w:val="0"/>
          <w:numId w:val="1003"/>
        </w:numPr>
        <w:pStyle w:val="Compact"/>
      </w:pPr>
      <w:r>
        <w:t xml:space="preserve">Construction including grading, foundations, tracker installation, BESS pad, MV trenching, substation construction, fencing, access roads.</w:t>
      </w:r>
    </w:p>
    <w:p>
      <w:pPr>
        <w:numPr>
          <w:ilvl w:val="0"/>
          <w:numId w:val="1003"/>
        </w:numPr>
        <w:pStyle w:val="Compact"/>
      </w:pPr>
      <w:r>
        <w:t xml:space="preserve">Commissioning, performance testing, training, as-builts.</w:t>
      </w:r>
    </w:p>
    <w:p>
      <w:pPr>
        <w:numPr>
          <w:ilvl w:val="0"/>
          <w:numId w:val="1003"/>
        </w:numPr>
        <w:pStyle w:val="Compact"/>
      </w:pPr>
      <w:r>
        <w:t xml:space="preserve">24-month warranty.</w:t>
      </w:r>
    </w:p>
    <w:p>
      <w:pPr>
        <w:pStyle w:val="Heading3"/>
      </w:pPr>
      <w:bookmarkStart w:id="26" w:name="out-of-scope"/>
      <w:r>
        <w:t xml:space="preserve">4.2 Out of scope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Land acquisition (client).</w:t>
      </w:r>
    </w:p>
    <w:p>
      <w:pPr>
        <w:numPr>
          <w:ilvl w:val="0"/>
          <w:numId w:val="1004"/>
        </w:numPr>
        <w:pStyle w:val="Compact"/>
      </w:pPr>
      <w:r>
        <w:t xml:space="preserve">Environmental permitting (client; Northwood supports).</w:t>
      </w:r>
    </w:p>
    <w:p>
      <w:pPr>
        <w:numPr>
          <w:ilvl w:val="0"/>
          <w:numId w:val="1004"/>
        </w:numPr>
        <w:pStyle w:val="Compact"/>
      </w:pPr>
      <w:r>
        <w:t xml:space="preserve">230 kV transmission line from substation to grid POI (separate utility-led contract).</w:t>
      </w:r>
    </w:p>
    <w:p>
      <w:pPr>
        <w:numPr>
          <w:ilvl w:val="0"/>
          <w:numId w:val="1004"/>
        </w:numPr>
        <w:pStyle w:val="Compact"/>
      </w:pPr>
      <w:r>
        <w:t xml:space="preserve">O&amp;M services post handover.</w:t>
      </w:r>
    </w:p>
    <w:p>
      <w:pPr>
        <w:pStyle w:val="Heading2"/>
      </w:pPr>
      <w:bookmarkStart w:id="27" w:name="key-stakeholders"/>
      <w:r>
        <w:t xml:space="preserve">5. Key stakeholders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p>
            <w:pPr>
              <w:pStyle w:val="Compact"/>
              <w:jc w:val="left"/>
            </w:pPr>
            <w:r>
              <w:t xml:space="preserve">VP Renewables</w:t>
            </w:r>
          </w:p>
        </w:tc>
        <w:tc>
          <w:p>
            <w:pPr>
              <w:pStyle w:val="Compact"/>
              <w:jc w:val="left"/>
            </w:pPr>
            <w:r>
              <w:t xml:space="preserve">Northwood</w:t>
            </w:r>
          </w:p>
        </w:tc>
        <w:tc>
          <w:p>
            <w:pPr>
              <w:pStyle w:val="Compact"/>
              <w:jc w:val="left"/>
            </w:pPr>
            <w:r>
              <w:t xml:space="preserve">Internal accountability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Director</w:t>
            </w:r>
          </w:p>
        </w:tc>
        <w:tc>
          <w:p>
            <w:pPr>
              <w:pStyle w:val="Compact"/>
              <w:jc w:val="left"/>
            </w:pPr>
            <w:r>
              <w:t xml:space="preserve">L. Chen</w:t>
            </w:r>
          </w:p>
        </w:tc>
        <w:tc>
          <w:p>
            <w:pPr>
              <w:pStyle w:val="Compact"/>
              <w:jc w:val="left"/>
            </w:pPr>
            <w:r>
              <w:t xml:space="preserve">Northwood</w:t>
            </w:r>
          </w:p>
        </w:tc>
        <w:tc>
          <w:p>
            <w:pPr>
              <w:pStyle w:val="Compact"/>
              <w:jc w:val="left"/>
            </w:pPr>
            <w:r>
              <w:t xml:space="preserve">Commercial 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J. Okafor</w:t>
            </w:r>
          </w:p>
        </w:tc>
        <w:tc>
          <w:p>
            <w:pPr>
              <w:pStyle w:val="Compact"/>
              <w:jc w:val="left"/>
            </w:pPr>
            <w:r>
              <w:t xml:space="preserve">Northwood</w:t>
            </w:r>
          </w:p>
        </w:tc>
        <w:tc>
          <w:p>
            <w:pPr>
              <w:pStyle w:val="Compact"/>
              <w:jc w:val="left"/>
            </w:pPr>
            <w:r>
              <w:t xml:space="preserve">Day-to-day delivery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Lead</w:t>
            </w:r>
          </w:p>
        </w:tc>
        <w:tc>
          <w:p>
            <w:pPr>
              <w:pStyle w:val="Compact"/>
              <w:jc w:val="left"/>
            </w:pPr>
            <w:r>
              <w:t xml:space="preserve">R. Sutter</w:t>
            </w:r>
          </w:p>
        </w:tc>
        <w:tc>
          <w:p>
            <w:pPr>
              <w:pStyle w:val="Compact"/>
              <w:jc w:val="left"/>
            </w:pPr>
            <w:r>
              <w:t xml:space="preserve">Skyhawk Renewables</w:t>
            </w:r>
          </w:p>
        </w:tc>
        <w:tc>
          <w:p>
            <w:pPr>
              <w:pStyle w:val="Compact"/>
              <w:jc w:val="left"/>
            </w:pPr>
            <w:r>
              <w:t xml:space="preserve">Primary client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Utility Coordinator</w:t>
            </w:r>
          </w:p>
        </w:tc>
        <w:tc>
          <w:p>
            <w:pPr>
              <w:pStyle w:val="Compact"/>
              <w:jc w:val="left"/>
            </w:pPr>
            <w:r>
              <w:t xml:space="preserve">(TBC)</w:t>
            </w:r>
          </w:p>
        </w:tc>
        <w:tc>
          <w:p>
            <w:pPr>
              <w:pStyle w:val="Compact"/>
              <w:jc w:val="left"/>
            </w:pPr>
            <w:r>
              <w:t xml:space="preserve">Regional Utility</w:t>
            </w:r>
          </w:p>
        </w:tc>
        <w:tc>
          <w:p>
            <w:pPr>
              <w:pStyle w:val="Compact"/>
              <w:jc w:val="left"/>
            </w:pPr>
            <w:r>
              <w:t xml:space="preserve">Interconnection studies, energisation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BESS OEM</w:t>
            </w:r>
          </w:p>
        </w:tc>
        <w:tc>
          <w:p>
            <w:pPr>
              <w:pStyle w:val="Compact"/>
              <w:jc w:val="left"/>
            </w:pPr>
            <w:r>
              <w:t xml:space="preserve">(BESS vendor)</w:t>
            </w:r>
          </w:p>
        </w:tc>
        <w:tc>
          <w:p>
            <w:pPr>
              <w:pStyle w:val="Compact"/>
              <w:jc w:val="left"/>
            </w:pPr>
            <w:r>
              <w:t xml:space="preserve">(BESS vendor)</w:t>
            </w:r>
          </w:p>
        </w:tc>
        <w:tc>
          <w:p>
            <w:pPr>
              <w:pStyle w:val="Compact"/>
              <w:jc w:val="left"/>
            </w:pPr>
            <w:r>
              <w:t xml:space="preserve">Battery delivery, integration support, warranty</w:t>
            </w:r>
          </w:p>
        </w:tc>
      </w:tr>
    </w:tbl>
    <w:p>
      <w:pPr>
        <w:pStyle w:val="Heading2"/>
      </w:pPr>
      <w:bookmarkStart w:id="28" w:name="schedule-and-milestones"/>
      <w:r>
        <w:t xml:space="preserve">6. Schedule and milestones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Payment milestone?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Detailed Engineering 30% review</w:t>
            </w:r>
          </w:p>
        </w:tc>
        <w:tc>
          <w:p>
            <w:pPr>
              <w:pStyle w:val="Compact"/>
              <w:jc w:val="left"/>
            </w:pPr>
            <w:r>
              <w:t xml:space="preserve">30 June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Long-lead POs released (modules, inverters, BESS)</w:t>
            </w:r>
          </w:p>
        </w:tc>
        <w:tc>
          <w:p>
            <w:pPr>
              <w:pStyle w:val="Compact"/>
              <w:jc w:val="left"/>
            </w:pPr>
            <w:r>
              <w:t xml:space="preserve">15 August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mobilisation</w:t>
            </w:r>
          </w:p>
        </w:tc>
        <w:tc>
          <w:p>
            <w:pPr>
              <w:pStyle w:val="Compact"/>
              <w:jc w:val="left"/>
            </w:pPr>
            <w:r>
              <w:t xml:space="preserve">1 October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Mechanical completion — PV array</w:t>
            </w:r>
          </w:p>
        </w:tc>
        <w:tc>
          <w:p>
            <w:pPr>
              <w:pStyle w:val="Compact"/>
              <w:jc w:val="left"/>
            </w:pPr>
            <w:r>
              <w:t xml:space="preserve">15 March, year+1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BESS commissioned</w:t>
            </w:r>
          </w:p>
        </w:tc>
        <w:tc>
          <w:p>
            <w:pPr>
              <w:pStyle w:val="Compact"/>
              <w:jc w:val="left"/>
            </w:pPr>
            <w:r>
              <w:t xml:space="preserve">30 April, year+1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Grid interconnection energisation</w:t>
            </w:r>
          </w:p>
        </w:tc>
        <w:tc>
          <w:p>
            <w:pPr>
              <w:pStyle w:val="Compact"/>
              <w:jc w:val="left"/>
            </w:pPr>
            <w:r>
              <w:t xml:space="preserve">1 May, year+1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Substantial Completion</w:t>
            </w:r>
          </w:p>
        </w:tc>
        <w:tc>
          <w:p>
            <w:pPr>
              <w:pStyle w:val="Compact"/>
              <w:jc w:val="left"/>
            </w:pPr>
            <w:r>
              <w:t xml:space="preserve">5 June, year+1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Heading2"/>
      </w:pPr>
      <w:bookmarkStart w:id="29" w:name="commercial-baseline"/>
      <w:r>
        <w:t xml:space="preserve">7. Commercial baseline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Contract value:</w:t>
      </w:r>
      <w:r>
        <w:t xml:space="preserve"> </w:t>
      </w:r>
      <w:r>
        <w:t xml:space="preserve">$68.0 million</w:t>
      </w:r>
      <w:r>
        <w:t xml:space="preserve"> </w:t>
      </w:r>
      <w:r>
        <w:rPr>
          <w:i/>
        </w:rPr>
        <w:t xml:space="preserve">(from intake; no flag needed)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Internal target margin:</w:t>
      </w:r>
      <w:r>
        <w:t xml:space="preserve"> </w:t>
      </w:r>
      <w:r>
        <w:t xml:space="preserve">8.8%</w:t>
      </w:r>
      <w:r>
        <w:t xml:space="preserve"> </w:t>
      </w:r>
      <w:r>
        <w:rPr>
          <w:i/>
        </w:rPr>
        <w:t xml:space="preserve">(from intake; no flag needed)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Approved budget (cost):</w:t>
      </w:r>
      <w:r>
        <w:t xml:space="preserve"> </w:t>
      </w:r>
      <w:r>
        <w:t xml:space="preserve">$62.0 million</w:t>
      </w:r>
      <w:r>
        <w:t xml:space="preserve"> </w:t>
      </w:r>
      <w:r>
        <w:rPr>
          <w:i/>
        </w:rPr>
        <w:t xml:space="preserve">(calculated as Contract value × (1 − margin); no flag needed because derivable)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Contingency:</w:t>
      </w:r>
      <w:r>
        <w:t xml:space="preserve"> </w:t>
      </w:r>
      <w:r>
        <w:t xml:space="preserve">$2.5 million</w:t>
      </w:r>
      <w:r>
        <w:t xml:space="preserve"> </w:t>
      </w:r>
      <w:r>
        <w:rPr>
          <w:i/>
        </w:rPr>
        <w:t xml:space="preserve">(at draft stage this was</w:t>
      </w:r>
      <w:r>
        <w:rPr>
          <w:i/>
        </w:rPr>
        <w:t xml:space="preserve"> </w:t>
      </w:r>
      <w:r>
        <w:rPr>
          <w:rStyle w:val="VerbatimChar"/>
          <w:i/>
        </w:rPr>
        <w:t xml:space="preserve">[NEEDS PM REVIEW: industry-standard contingency for this project class]</w:t>
      </w:r>
      <w:r>
        <w:rPr>
          <w:i/>
        </w:rPr>
        <w:t xml:space="preserve">; commercial team confirmed $2.5M at Week 2 review)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LDs:</w:t>
      </w:r>
      <w:r>
        <w:t xml:space="preserve"> </w:t>
      </w:r>
      <w:r>
        <w:t xml:space="preserve">0.5%/week capped at 10% ($6.8M)</w:t>
      </w:r>
      <w:r>
        <w:t xml:space="preserve"> </w:t>
      </w:r>
      <w:r>
        <w:rPr>
          <w:i/>
        </w:rPr>
        <w:t xml:space="preserve">(at draft stage this was</w:t>
      </w:r>
      <w:r>
        <w:rPr>
          <w:i/>
        </w:rPr>
        <w:t xml:space="preserve"> </w:t>
      </w:r>
      <w:r>
        <w:rPr>
          <w:rStyle w:val="VerbatimChar"/>
          <w:i/>
        </w:rPr>
        <w:t xml:space="preserve">[NEEDS PM REVIEW: LD terms — confirm with commercial team]</w:t>
      </w:r>
      <w:r>
        <w:rPr>
          <w:i/>
        </w:rPr>
        <w:t xml:space="preserve">; agreed during contract negotiation)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Retention:</w:t>
      </w:r>
      <w:r>
        <w:t xml:space="preserve"> </w:t>
      </w:r>
      <w:r>
        <w:t xml:space="preserve">7.5%, half released at SC, half at end of warranty</w:t>
      </w:r>
      <w:r>
        <w:t xml:space="preserve"> </w:t>
      </w:r>
      <w:r>
        <w:rPr>
          <w:i/>
        </w:rPr>
        <w:t xml:space="preserve">(at draft stage this was</w:t>
      </w:r>
      <w:r>
        <w:rPr>
          <w:i/>
        </w:rPr>
        <w:t xml:space="preserve"> </w:t>
      </w:r>
      <w:r>
        <w:rPr>
          <w:rStyle w:val="VerbatimChar"/>
          <w:i/>
        </w:rPr>
        <w:t xml:space="preserve">[NEEDS PM REVIEW: retention terms]</w:t>
      </w:r>
      <w:r>
        <w:rPr>
          <w:i/>
        </w:rPr>
        <w:t xml:space="preserve">; standard Northwood EPC terms confirmed)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Payment terms:</w:t>
      </w:r>
      <w:r>
        <w:t xml:space="preserve"> </w:t>
      </w:r>
      <w:r>
        <w:t xml:space="preserve">Net 30, milestone-based</w:t>
      </w:r>
      <w:r>
        <w:t xml:space="preserve"> </w:t>
      </w:r>
      <w:r>
        <w:rPr>
          <w:i/>
        </w:rPr>
        <w:t xml:space="preserve">(at draft stage this was</w:t>
      </w:r>
      <w:r>
        <w:rPr>
          <w:i/>
        </w:rPr>
        <w:t xml:space="preserve"> </w:t>
      </w:r>
      <w:r>
        <w:rPr>
          <w:rStyle w:val="VerbatimChar"/>
          <w:i/>
        </w:rPr>
        <w:t xml:space="preserve">[NEEDS PM REVIEW: payment terms]</w:t>
      </w:r>
      <w:r>
        <w:rPr>
          <w:i/>
        </w:rPr>
        <w:t xml:space="preserve">; client agreed at contract signature)</w:t>
      </w:r>
    </w:p>
    <w:p>
      <w:pPr>
        <w:pStyle w:val="Heading2"/>
      </w:pPr>
      <w:bookmarkStart w:id="30" w:name="risks-top-5"/>
      <w:r>
        <w:t xml:space="preserve">8. Risks (top 5)</w:t>
      </w:r>
      <w:bookmarkEnd w:id="3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Utility interconnection studies delivered late, delaying energisation</w:t>
            </w:r>
          </w:p>
        </w:tc>
        <w:tc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Mitigate — engage utility coordinator from Day 1, escalation path via PPA terms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BESS supply-chain disruption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Mitigate — early PO, dual-source qualification, factory acceptance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degradation higher tha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2026-05-23T06:00:37Z</dcterms:created>
  <dcterms:modified xsi:type="dcterms:W3CDTF">2026-05-23T06:00:37Z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