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ce1ff52807360a8a4a177d7dc074fad4016fee"/>
      <w:r>
        <w:t xml:space="preserve">Cost Baseline and Cash Flow Plan — Skyhawk Solar + Storage Phase 1</w:t>
      </w:r>
      <w:bookmarkEnd w:id="20"/>
    </w:p>
    <w:p>
      <w:pPr>
        <w:pStyle w:val="BlockText"/>
      </w:pPr>
      <w:r>
        <w:rPr>
          <w:b/>
        </w:rPr>
        <w:t xml:space="preserve">Note on this document’s role as a worked example.</w:t>
      </w:r>
      <w:r>
        <w:t xml:space="preserve"> </w:t>
      </w:r>
      <w:r>
        <w:t xml:space="preserve">This is the COMMITTED Cost Baseline and Cash Flow Plan for Skyhawk as it stood at the end of the Planning phase (ten weeks post-charter, post-Engineering 30% review), and as it evolved through Engineering 60% and into Construction. When the Budget Builder agent uses this as a worked example for a new project’s cost baseline, items shown with inline italic annotations — line-item dollar values dependent on detailed engineering, contingency allocations to specific risk categories, and the names of cost owners — should appear at the draft stage as</w:t>
      </w:r>
      <w:r>
        <w:t xml:space="preserve"> </w:t>
      </w:r>
      <w:r>
        <w:rPr>
          <w:rStyle w:val="VerbatimChar"/>
        </w:rPr>
        <w:t xml:space="preserve">[NEEDS PM REVIEW: &lt;value&gt;]</w:t>
      </w:r>
      <w:r>
        <w:t xml:space="preserve"> </w:t>
      </w:r>
      <w:r>
        <w:t xml:space="preserve">rather than as the resolved values shown here. The final values shown reflect what the Northwood PM and Commercial Manager committed during the Planning sequence; a new project’s draft cost baseline would carry these in flagged form until detailed engineering supports the numbers.</w:t>
      </w:r>
    </w:p>
    <w:p>
      <w:pPr>
        <w:pStyle w:val="Heading2"/>
      </w:pPr>
      <w:bookmarkStart w:id="21" w:name="project-context"/>
      <w:r>
        <w:t xml:space="preserve">1. Project context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Project:</w:t>
      </w:r>
      <w:r>
        <w:t xml:space="preserve"> </w:t>
      </w:r>
      <w:r>
        <w:t xml:space="preserve">Skyhawk Solar + Storage Phase 1 (NW-REN-2207)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Client:</w:t>
      </w:r>
      <w:r>
        <w:t xml:space="preserve"> </w:t>
      </w:r>
      <w:r>
        <w:t xml:space="preserve">Skyhawk Renewables LLC (IPP)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Contract:</w:t>
      </w:r>
      <w:r>
        <w:t xml:space="preserve"> </w:t>
      </w:r>
      <w:r>
        <w:t xml:space="preserve">Fixed-price, $68.0M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Target Substantial Completion:</w:t>
      </w:r>
      <w:r>
        <w:t xml:space="preserve"> </w:t>
      </w:r>
      <w:r>
        <w:t xml:space="preserve">5 June, year+1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Northwood PM:</w:t>
      </w:r>
      <w:r>
        <w:t xml:space="preserve"> </w:t>
      </w:r>
      <w:r>
        <w:t xml:space="preserve">J. Okafor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Commercial Manager:</w:t>
      </w:r>
      <w:r>
        <w:t xml:space="preserve"> </w:t>
      </w:r>
      <w:r>
        <w:rPr>
          <w:i/>
        </w:rPr>
        <w:t xml:space="preserve">(at draft stage [NEEDS PM REVIEW: confirm Commercial Manager assignment]; assigned Week 4)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 baseline date:</w:t>
      </w:r>
      <w:r>
        <w:t xml:space="preserve"> </w:t>
      </w:r>
      <w:r>
        <w:t xml:space="preserve">Week 10 post-charter, post-30% Engineering</w:t>
      </w:r>
    </w:p>
    <w:p>
      <w:pPr>
        <w:pStyle w:val="Heading2"/>
      </w:pPr>
      <w:bookmarkStart w:id="22" w:name="cost-baseline-summary-p50"/>
      <w:r>
        <w:t xml:space="preserve">2. Cost baseline summary (P50)</w:t>
      </w:r>
      <w:bookmarkEnd w:id="22"/>
    </w:p>
    <w:p>
      <w:pPr>
        <w:pStyle w:val="FirstParagraph"/>
      </w:pPr>
      <w:r>
        <w:t xml:space="preserve">The fixed-price contract value, target margin, approved cost budget, and contingency are committed in the charter §7. This section restates them and adds the operational structure used during execution.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$ million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/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 value</w:t>
            </w:r>
          </w:p>
        </w:tc>
        <w:tc>
          <w:p>
            <w:pPr>
              <w:pStyle w:val="Compact"/>
              <w:jc w:val="right"/>
            </w:pPr>
            <w:r>
              <w:t xml:space="preserve">$68.0</w:t>
            </w:r>
          </w:p>
        </w:tc>
        <w:tc>
          <w:p>
            <w:pPr>
              <w:pStyle w:val="Compact"/>
              <w:jc w:val="left"/>
            </w:pPr>
            <w:r>
              <w:t xml:space="preserve">Charter §7 (committed)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target margin</w:t>
            </w:r>
          </w:p>
        </w:tc>
        <w:tc>
          <w:p>
            <w:pPr>
              <w:pStyle w:val="Compact"/>
              <w:jc w:val="right"/>
            </w:pPr>
            <w:r>
              <w:t xml:space="preserve">8.8%</w:t>
            </w:r>
          </w:p>
        </w:tc>
        <w:tc>
          <w:p>
            <w:pPr>
              <w:pStyle w:val="Compact"/>
              <w:jc w:val="left"/>
            </w:pPr>
            <w:r>
              <w:t xml:space="preserve">Charter §7 (committed)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Approved cost budget (P50)</w:t>
            </w:r>
          </w:p>
        </w:tc>
        <w:tc>
          <w:p>
            <w:pPr>
              <w:pStyle w:val="Compact"/>
              <w:jc w:val="right"/>
            </w:pPr>
            <w:r>
              <w:t xml:space="preserve">$62.0</w:t>
            </w:r>
          </w:p>
        </w:tc>
        <w:tc>
          <w:p>
            <w:pPr>
              <w:pStyle w:val="Compact"/>
              <w:jc w:val="left"/>
            </w:pPr>
            <w:r>
              <w:t xml:space="preserve">Charter §7 (calculated as Contract value × (1 − margin); committed)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Northwood contingency</w:t>
            </w:r>
          </w:p>
        </w:tc>
        <w:tc>
          <w:p>
            <w:pPr>
              <w:pStyle w:val="Compact"/>
              <w:jc w:val="right"/>
            </w:pPr>
            <w:r>
              <w:t xml:space="preserve">$2.5</w:t>
            </w:r>
          </w:p>
        </w:tc>
        <w:tc>
          <w:p>
            <w:pPr>
              <w:pStyle w:val="Compact"/>
              <w:jc w:val="left"/>
            </w:pPr>
            <w:r>
              <w:t xml:space="preserve">Charter §7</w:t>
            </w:r>
            <w:r>
              <w:t xml:space="preserve"> </w:t>
            </w:r>
            <w:r>
              <w:rPr>
                <w:i/>
              </w:rPr>
              <w:t xml:space="preserve">(at draft stage [NEEDS PM REVIEW: industry-standard contingency for this project class]; commercial team confirmed $2.5M at Week 2 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cost-to-Northwood envelope (P50 + contingency)</w:t>
            </w:r>
          </w:p>
        </w:tc>
        <w:tc>
          <w:p>
            <w:pPr>
              <w:pStyle w:val="Compact"/>
              <w:jc w:val="right"/>
            </w:pPr>
            <w:r>
              <w:t xml:space="preserve">$64.5</w:t>
            </w:r>
          </w:p>
        </w:tc>
        <w:tc>
          <w:p>
            <w:pPr>
              <w:pStyle w:val="Compact"/>
              <w:jc w:val="left"/>
            </w:pPr>
            <w:r>
              <w:t xml:space="preserve">Calculated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Margin at full contingency consumption</w:t>
            </w:r>
          </w:p>
        </w:tc>
        <w:tc>
          <w:p>
            <w:pPr>
              <w:pStyle w:val="Compact"/>
              <w:jc w:val="right"/>
            </w:pPr>
            <w:r>
              <w:t xml:space="preserve">$3.5</w:t>
            </w:r>
          </w:p>
        </w:tc>
        <w:tc>
          <w:p>
            <w:pPr>
              <w:pStyle w:val="Compact"/>
              <w:jc w:val="left"/>
            </w:pPr>
            <w:r>
              <w:t xml:space="preserve">Worst-case internal margin if entire contingency is drawn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LDs maximum exposure</w:t>
            </w:r>
          </w:p>
        </w:tc>
        <w:tc>
          <w:p>
            <w:pPr>
              <w:pStyle w:val="Compact"/>
              <w:jc w:val="right"/>
            </w:pPr>
            <w:r>
              <w:t xml:space="preserve">$6.8</w:t>
            </w:r>
          </w:p>
        </w:tc>
        <w:tc>
          <w:p>
            <w:pPr>
              <w:pStyle w:val="Compact"/>
              <w:jc w:val="left"/>
            </w:pPr>
            <w:r>
              <w:t xml:space="preserve">Charter §7 (0.5%/week capped at 10%)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 held (peak)</w:t>
            </w:r>
          </w:p>
        </w:tc>
        <w:tc>
          <w:p>
            <w:pPr>
              <w:pStyle w:val="Compact"/>
              <w:jc w:val="right"/>
            </w:pPr>
            <w:r>
              <w:t xml:space="preserve">$5.1</w:t>
            </w:r>
          </w:p>
        </w:tc>
        <w:tc>
          <w:p>
            <w:pPr>
              <w:pStyle w:val="Compact"/>
              <w:jc w:val="left"/>
            </w:pPr>
            <w:r>
              <w:t xml:space="preserve">Charter §7 (7.5% retention; this is the peak amount held before SC release of 50%)</w:t>
            </w:r>
          </w:p>
        </w:tc>
      </w:tr>
    </w:tbl>
    <w:p>
      <w:pPr>
        <w:pStyle w:val="BodyText"/>
      </w:pPr>
      <w:r>
        <w:t xml:space="preserve">The Margin-at-full-contingency-consumption ($3.5M / 5.1%) is the internal floor below which the project would be flagged as commercially distressed. Below this floor, escalation to Sponsor is required.</w:t>
      </w:r>
    </w:p>
    <w:p>
      <w:pPr>
        <w:pStyle w:val="Heading2"/>
      </w:pPr>
      <w:bookmarkStart w:id="23" w:name="cost-baseline-by-wbs-branch"/>
      <w:r>
        <w:t xml:space="preserve">3. Cost baseline by WBS branch</w:t>
      </w:r>
      <w:bookmarkEnd w:id="23"/>
    </w:p>
    <w:p>
      <w:pPr>
        <w:pStyle w:val="FirstParagraph"/>
      </w:pPr>
      <w:r>
        <w:t xml:space="preserve">Decomposition aligned to the project’s WBS. Each Level-2 branch carries a P50 cost and a Northwood-internal confidence band derived from the 30% Engineering review.</w:t>
      </w:r>
    </w:p>
    <w:tbl>
      <w:tblPr>
        <w:tblStyle w:val="Table"/>
        <w:tblW w:type="pct" w:w="5000.0"/>
        <w:tblLook w:firstRow="1"/>
      </w:tblPr>
      <w:tblGrid>
        <w:gridCol w:w="1397"/>
        <w:gridCol w:w="1863"/>
        <w:gridCol w:w="1863"/>
        <w:gridCol w:w="1397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WBS 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P50 cost ($M)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% of total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Confidence 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/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 Project Management</w:t>
            </w:r>
          </w:p>
        </w:tc>
        <w:tc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p>
            <w:pPr>
              <w:pStyle w:val="Compact"/>
              <w:jc w:val="right"/>
            </w:pPr>
            <w:r>
              <w:t xml:space="preserve">5.0%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Northwood standard rate × 14-month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 Engineering &amp; Design</w:t>
            </w:r>
          </w:p>
        </w:tc>
        <w:tc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p>
            <w:pPr>
              <w:pStyle w:val="Compact"/>
              <w:jc w:val="right"/>
            </w:pPr>
            <w:r>
              <w:t xml:space="preserve">4.0%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Engineering staffing plan, 30% review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Solar PV modules (200 MW DC)</w:t>
            </w:r>
          </w:p>
        </w:tc>
        <w:tc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p>
            <w:pPr>
              <w:pStyle w:val="Compact"/>
              <w:jc w:val="right"/>
            </w:pPr>
            <w:r>
              <w:t xml:space="preserve">30.0%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Three-bid procurement complete, vendor selected at Week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Inverters</w:t>
            </w:r>
          </w:p>
        </w:tc>
        <w:tc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p>
            <w:pPr>
              <w:pStyle w:val="Compact"/>
              <w:jc w:val="right"/>
            </w:pPr>
            <w:r>
              <w:t xml:space="preserve">7.0%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Three-bid procurement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BESS (100 MWh / 4-hour LFP)</w:t>
            </w:r>
          </w:p>
        </w:tc>
        <w:tc>
          <w:p>
            <w:pPr>
              <w:pStyle w:val="Compact"/>
              <w:jc w:val="right"/>
            </w:pPr>
            <w:r>
              <w:t xml:space="preserve">9.3</w:t>
            </w:r>
          </w:p>
        </w:tc>
        <w:tc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(at draft stage [NEEDS PM REVIEW: BESS vendor selection — see Risk R2]; BESS vendor selected at Week 9, +/- 8% confidence band)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Substation &amp; 230 kV equipment</w:t>
            </w:r>
          </w:p>
        </w:tc>
        <w:tc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Single-vendor substation package 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Racking / trackers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right"/>
            </w:pPr>
            <w:r>
              <w:t xml:space="preserve">8.0%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Tracker vendor selected at Week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 Procurement — BOS electrical (MV cabling, transformers)</w:t>
            </w:r>
          </w:p>
        </w:tc>
        <w:tc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Bulk procurement standard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 Civil construction (foundations, grading, fencing)</w:t>
            </w:r>
          </w:p>
        </w:tc>
        <w:tc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p>
            <w:pPr>
              <w:pStyle w:val="Compact"/>
              <w:jc w:val="right"/>
            </w:pPr>
            <w:r>
              <w:t xml:space="preserve">7.0%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Civil subcontract awarded at Week 12; T&amp;M variation clause for desert-soil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 Mechanical / electrical installation (subcontracts)</w:t>
            </w:r>
          </w:p>
        </w:tc>
        <w:tc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Two subcontract packages awarded at Week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6.0 Commissioning, performance testing, training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1.6%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Northwood self-perform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7.0 Project close (warranty admin, demobilisation)</w:t>
            </w:r>
          </w:p>
        </w:tc>
        <w:tc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p>
            <w:pPr>
              <w:pStyle w:val="Compact"/>
              <w:jc w:val="left"/>
            </w:pPr>
            <w:r>
              <w:t xml:space="preserve">Tight</w:t>
            </w:r>
          </w:p>
        </w:tc>
        <w:tc>
          <w:p>
            <w:pPr>
              <w:pStyle w:val="Compact"/>
              <w:jc w:val="left"/>
            </w:pPr>
            <w:r>
              <w:t xml:space="preserve">Standard demobilisation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P50 cost budget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$62.0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100%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Matches charter 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Northwood contingency (separately tracked)</w:t>
            </w:r>
          </w:p>
        </w:tc>
        <w:tc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Charter §7</w:t>
            </w:r>
          </w:p>
        </w:tc>
      </w:tr>
    </w:tbl>
    <w:p>
      <w:pPr>
        <w:pStyle w:val="BodyText"/>
      </w:pPr>
      <w:r>
        <w:t xml:space="preserve">Branch confidence bands:</w:t>
      </w:r>
      <w:r>
        <w:t xml:space="preserve"> </w:t>
      </w:r>
      <w:r>
        <w:t xml:space="preserve">“</w:t>
      </w:r>
      <w:r>
        <w:t xml:space="preserve">Tight</w:t>
      </w:r>
      <w:r>
        <w:t xml:space="preserve">”</w:t>
      </w:r>
      <w:r>
        <w:t xml:space="preserve"> </w:t>
      </w:r>
      <w:r>
        <w:t xml:space="preserve">means the P50 value is within ±5% based on detailed engineering and vendor confirmation.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 </w:t>
      </w:r>
      <w:r>
        <w:t xml:space="preserve">means ±10–15%, typically because vendor selection, subcontract award, or engineering completion lags. Branches without a tight band drive the contingency allocation in §4.</w:t>
      </w:r>
    </w:p>
    <w:p>
      <w:pPr>
        <w:pStyle w:val="Heading2"/>
      </w:pPr>
      <w:bookmarkStart w:id="24" w:name="contingency-allocation-reasoning"/>
      <w:r>
        <w:t xml:space="preserve">4. Contingency allocation reasoning</w:t>
      </w:r>
      <w:bookmarkEnd w:id="24"/>
    </w:p>
    <w:p>
      <w:pPr>
        <w:pStyle w:val="FirstParagraph"/>
      </w:pPr>
      <w:r>
        <w:t xml:space="preserve">The $2.5M contingency is held by the PM as a discretionary fund. It is not pre-allocated to specific WBS branches at the baseline date, but the analytical allocation below shows the PM’s reasoning at planning: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Allocation ($k)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Tied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Utility interconnection studies delivered late (R1)</w:t>
            </w:r>
          </w:p>
        </w:tc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Schedule-driven cost; standby crew, expediting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BESS supply-chain disruption (R2)</w:t>
            </w:r>
          </w:p>
        </w:tc>
        <w:tc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p>
            <w:pPr>
              <w:pStyle w:val="Compact"/>
              <w:jc w:val="left"/>
            </w:pPr>
            <w:r>
              <w:t xml:space="preserve">Single-vendor concentration on a Medium-band procurement; covers re-qualification cost if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degradation higher than design (R3)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Reserved for replacement modules within warranty if needed during commissioning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Weather events / monsoon-season productivity (R4)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Recovery overtime, sequence re-engineering during productive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labour shortage / retention (R5)</w:t>
            </w:r>
          </w:p>
        </w:tc>
        <w:tc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Retention bonuses, partner with local trades for additional capacity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Unallocated reserve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PM discretionary; held for unanticipated discoveries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contingency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2,500</w:t>
            </w:r>
          </w:p>
        </w:tc>
        <w:tc>
          <w:p>
            <w:pPr>
              <w:pStyle w:val="Compact"/>
              <w:jc w:val="left"/>
            </w:pPr>
            <w:r>
              <w:t xml:space="preserve">Charter §7 confirmed</w:t>
            </w:r>
          </w:p>
        </w:tc>
      </w:tr>
    </w:tbl>
    <w:p>
      <w:pPr>
        <w:pStyle w:val="BodyText"/>
      </w:pPr>
      <w:r>
        <w:t xml:space="preserve">Of the $2.5M, $2.0M maps to the five charter §8 risks (R1–R5) and $0.5M is held as unallocated reserve. The PM may re-allocate within the envelope as risks materialise or close, but expansion beyond $2.5M requires Director approval per charter §11 governance.</w:t>
      </w:r>
    </w:p>
    <w:p>
      <w:pPr>
        <w:pStyle w:val="Heading2"/>
      </w:pPr>
      <w:bookmarkStart w:id="25" w:name="Xfff0d0ee93da9100b322b62104c5dceafb098df"/>
      <w:r>
        <w:t xml:space="preserve">5. Cash flow and payment milestone alignment</w:t>
      </w:r>
      <w:bookmarkEnd w:id="25"/>
    </w:p>
    <w:p>
      <w:pPr>
        <w:pStyle w:val="FirstParagraph"/>
      </w:pPr>
      <w:r>
        <w:t xml:space="preserve">The contract is milestone-based with Net 30 payment terms. Invoiced revenue at each milestone is calculated from the milestone weights agreed in the contract; cumulative invoiced revenue must track ahead of cumulative cost-to-complete to keep the project cash-positive through to SC.</w:t>
      </w:r>
    </w:p>
    <w:tbl>
      <w:tblPr>
        <w:tblStyle w:val="Table"/>
        <w:tblW w:type="pct" w:w="5000.0"/>
        <w:tblLook w:firstRow="1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Invoiced (</w:t>
            </w:r>
            <m:oMath>
              <m:r>
                <m:t>M</m:t>
              </m:r>
              <m:r>
                <m:t>)</m:t>
              </m:r>
              <m:r>
                <m:t>|</m:t>
              </m:r>
              <m:r>
                <m:t>C</m:t>
              </m:r>
              <m:r>
                <m:t>u</m:t>
              </m:r>
              <m:r>
                <m:t>m</m:t>
              </m:r>
              <m:r>
                <m:t>u</m:t>
              </m:r>
              <m:r>
                <m:t>l</m:t>
              </m:r>
              <m:r>
                <m:t>a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  <m:r>
                <m:t>i</m:t>
              </m:r>
              <m:r>
                <m:t>n</m:t>
              </m:r>
              <m:r>
                <m:t>v</m:t>
              </m:r>
              <m:r>
                <m:t>o</m:t>
              </m:r>
              <m:r>
                <m:t>i</m:t>
              </m:r>
              <m:r>
                <m:t>c</m:t>
              </m:r>
              <m:r>
                <m:t>e</m:t>
              </m:r>
              <m:r>
                <m:t>d</m:t>
              </m:r>
              <m:r>
                <m:t>(</m:t>
              </m:r>
            </m:oMath>
            <w:r>
              <w:t xml:space="preserve">M)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Cumulative cost (</w:t>
            </w:r>
            <m:oMath>
              <m:r>
                <m:t>M</m:t>
              </m:r>
              <m:r>
                <m:t>,</m:t>
              </m:r>
              <m:r>
                <m:t>p</m:t>
              </m:r>
              <m:r>
                <m:t>r</m:t>
              </m:r>
              <m:r>
                <m:t>o</m:t>
              </m:r>
              <m:r>
                <m:t>j</m:t>
              </m:r>
              <m:r>
                <m:t>e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  <m:r>
                <m:t>)</m:t>
              </m:r>
              <m:r>
                <m:t>|</m:t>
              </m:r>
              <m:r>
                <m:t>N</m:t>
              </m:r>
              <m:r>
                <m:t>e</m:t>
              </m:r>
              <m:r>
                <m:t>t</m:t>
              </m:r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  <m:r>
                <m:t>i</m:t>
              </m:r>
              <m:r>
                <m:t>n</m:t>
              </m:r>
              <m:r>
                <m:t>g</m:t>
              </m:r>
              <m:r>
                <m:t>c</m:t>
              </m:r>
              <m:r>
                <m:t>a</m:t>
              </m:r>
              <m:r>
                <m:t>p</m:t>
              </m:r>
              <m:r>
                <m:t>i</m:t>
              </m:r>
              <m:r>
                <m:t>t</m:t>
              </m:r>
              <m:r>
                <m:t>a</m:t>
              </m:r>
              <m:r>
                <m:t>l</m:t>
              </m:r>
              <m:r>
                <m:t>(</m:t>
              </m:r>
            </m:oMath>
            <w:r>
              <w:t xml:space="preserve">M)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Detailed Engineering 30% review</w:t>
            </w:r>
          </w:p>
        </w:tc>
        <w:tc>
          <w:p>
            <w:pPr>
              <w:pStyle w:val="Compact"/>
              <w:jc w:val="left"/>
            </w:pPr>
            <w:r>
              <w:t xml:space="preserve">30 June</w:t>
            </w:r>
          </w:p>
        </w:tc>
        <w:tc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Long-lead POs released (modules, inverters, BESS)</w:t>
            </w:r>
          </w:p>
        </w:tc>
        <w:tc>
          <w:p>
            <w:pPr>
              <w:pStyle w:val="Compact"/>
              <w:jc w:val="left"/>
            </w:pPr>
            <w:r>
              <w:t xml:space="preserve">15 August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mobilisation</w:t>
            </w:r>
          </w:p>
        </w:tc>
        <w:tc>
          <w:p>
            <w:pPr>
              <w:pStyle w:val="Compact"/>
              <w:jc w:val="left"/>
            </w:pPr>
            <w:r>
              <w:t xml:space="preserve">1 October</w:t>
            </w:r>
          </w:p>
        </w:tc>
        <w:tc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p>
            <w:pPr>
              <w:pStyle w:val="Compact"/>
              <w:jc w:val="right"/>
            </w:pPr>
            <w:r>
              <w:t xml:space="preserve">7.1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Mechanical Completion — PV array</w:t>
            </w:r>
          </w:p>
        </w:tc>
        <w:tc>
          <w:p>
            <w:pPr>
              <w:pStyle w:val="Compact"/>
              <w:jc w:val="left"/>
            </w:pPr>
            <w:r>
              <w:t xml:space="preserve">15 March, year+1</w:t>
            </w:r>
          </w:p>
        </w:tc>
        <w:tc>
          <w:p>
            <w:pPr>
              <w:pStyle w:val="Compact"/>
              <w:jc w:val="right"/>
            </w:pPr>
            <w:r>
              <w:t xml:space="preserve">23.8</w:t>
            </w:r>
          </w:p>
        </w:tc>
        <w:tc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p>
            <w:pPr>
              <w:pStyle w:val="Compact"/>
              <w:jc w:val="right"/>
            </w:pPr>
            <w:r>
              <w:t xml:space="preserve">9.4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BESS commissioned</w:t>
            </w:r>
          </w:p>
        </w:tc>
        <w:tc>
          <w:p>
            <w:pPr>
              <w:pStyle w:val="Compact"/>
              <w:jc w:val="left"/>
            </w:pPr>
            <w:r>
              <w:t xml:space="preserve">30 April, year+1</w:t>
            </w:r>
          </w:p>
        </w:tc>
        <w:tc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p>
            <w:pPr>
              <w:pStyle w:val="Compact"/>
              <w:jc w:val="right"/>
            </w:pPr>
            <w:r>
              <w:t xml:space="preserve">51.0</w:t>
            </w:r>
          </w:p>
        </w:tc>
        <w:tc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p>
            <w:pPr>
              <w:pStyle w:val="Compact"/>
              <w:jc w:val="right"/>
            </w:pPr>
            <w:r>
              <w:t xml:space="preserve">8.5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Grid interconnection energisation</w:t>
            </w:r>
          </w:p>
        </w:tc>
        <w:tc>
          <w:p>
            <w:pPr>
              <w:pStyle w:val="Compact"/>
              <w:jc w:val="left"/>
            </w:pPr>
            <w:r>
              <w:t xml:space="preserve">1 May, year+1</w:t>
            </w:r>
          </w:p>
        </w:tc>
        <w:tc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p>
            <w:pPr>
              <w:pStyle w:val="Compact"/>
              <w:jc w:val="right"/>
            </w:pPr>
            <w:r>
              <w:t xml:space="preserve">56.4</w:t>
            </w:r>
          </w:p>
        </w:tc>
        <w:tc>
          <w:p>
            <w:pPr>
              <w:pStyle w:val="Compact"/>
              <w:jc w:val="right"/>
            </w:pPr>
            <w:r>
              <w:t xml:space="preserve">49.0</w:t>
            </w:r>
          </w:p>
        </w:tc>
        <w:tc>
          <w:p>
            <w:pPr>
              <w:pStyle w:val="Compact"/>
              <w:jc w:val="right"/>
            </w:pPr>
            <w:r>
              <w:t xml:space="preserve">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Substantial Completion</w:t>
            </w:r>
          </w:p>
        </w:tc>
        <w:tc>
          <w:p>
            <w:pPr>
              <w:pStyle w:val="Compact"/>
              <w:jc w:val="left"/>
            </w:pPr>
            <w:r>
              <w:t xml:space="preserve">5 June, year+1</w:t>
            </w:r>
          </w:p>
        </w:tc>
        <w:tc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p>
            <w:pPr>
              <w:pStyle w:val="Compact"/>
              <w:jc w:val="right"/>
            </w:pPr>
            <w:r>
              <w:t xml:space="preserve">65.0</w:t>
            </w:r>
          </w:p>
        </w:tc>
        <w:tc>
          <w:p>
            <w:pPr>
              <w:pStyle w:val="Compact"/>
              <w:jc w:val="right"/>
            </w:pPr>
            <w:r>
              <w:t xml:space="preserve">58.0</w:t>
            </w:r>
          </w:p>
        </w:tc>
        <w:tc>
          <w:p>
            <w:pPr>
              <w:pStyle w:val="Compact"/>
              <w:jc w:val="right"/>
            </w:pPr>
            <w:r>
              <w:t xml:space="preserve">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Retention release 1 (50% at SC)</w:t>
            </w:r>
          </w:p>
        </w:tc>
        <w:tc>
          <w:p>
            <w:pPr>
              <w:pStyle w:val="Compact"/>
              <w:jc w:val="left"/>
            </w:pPr>
            <w:r>
              <w:t xml:space="preserve">5 June, year+1</w:t>
            </w:r>
          </w:p>
        </w:tc>
        <w:tc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p>
            <w:pPr>
              <w:pStyle w:val="Compact"/>
              <w:jc w:val="right"/>
            </w:pPr>
            <w:r>
              <w:t xml:space="preserve">67.55</w:t>
            </w:r>
          </w:p>
        </w:tc>
        <w:tc>
          <w:p>
            <w:pPr>
              <w:pStyle w:val="Compact"/>
              <w:jc w:val="right"/>
            </w:pPr>
            <w:r>
              <w:t xml:space="preserve">58.0</w:t>
            </w:r>
          </w:p>
        </w:tc>
        <w:tc>
          <w:p>
            <w:pPr>
              <w:pStyle w:val="Compact"/>
              <w:jc w:val="right"/>
            </w:pPr>
            <w:r>
              <w:t xml:space="preserve">9.55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warranty close (24 months later)</w:t>
            </w:r>
          </w:p>
        </w:tc>
        <w:tc>
          <w:p>
            <w:pPr>
              <w:pStyle w:val="Compact"/>
              <w:jc w:val="left"/>
            </w:pPr>
            <w:r>
              <w:t xml:space="preserve">(warranty end)</w:t>
            </w:r>
          </w:p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p>
            <w:pPr>
              <w:pStyle w:val="Compact"/>
              <w:jc w:val="right"/>
            </w:pPr>
            <w:r>
              <w:t xml:space="preserve">68.0</w:t>
            </w:r>
          </w:p>
        </w:tc>
        <w:tc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p>
            <w:pPr>
              <w:pStyle w:val="Compact"/>
              <w:jc w:val="right"/>
            </w:pPr>
            <w:r>
              <w:t xml:space="preserve">6.0</w:t>
            </w:r>
          </w:p>
        </w:tc>
      </w:tr>
    </w:tbl>
    <w:p>
      <w:pPr>
        <w:pStyle w:val="BodyText"/>
      </w:pPr>
      <w:r>
        <w:t xml:space="preserve">Net working capital is positive at every milestone. The lowest point is at Mechanical Completion BESS (Week 39 from contract effective), when committed but unbilled work is highest.</w:t>
      </w:r>
      <w:r>
        <w:t xml:space="preserve"> </w:t>
      </w:r>
      <w:r>
        <w:rPr>
          <w:i/>
        </w:rPr>
        <w:t xml:space="preserve">(at draft stage [NEEDS PM REVIEW: confirm cumulative-cost projections against detailed cost-to-complete model; numbers shown here are Week 10 baseline projections])</w:t>
      </w:r>
      <w:r>
        <w:t xml:space="preserve">.</w:t>
      </w:r>
    </w:p>
    <w:p>
      <w:pPr>
        <w:pStyle w:val="Heading2"/>
      </w:pPr>
      <w:bookmarkStart w:id="26" w:name="cost-reporting-framework"/>
      <w:r>
        <w:t xml:space="preserve">6. Cost reporting framework</w:t>
      </w:r>
      <w:bookmarkEnd w:id="26"/>
    </w:p>
    <w:p>
      <w:pPr>
        <w:pStyle w:val="Heading3"/>
      </w:pPr>
      <w:bookmarkStart w:id="27" w:name="variance-reporting-cadence"/>
      <w:r>
        <w:t xml:space="preserve">6.1 Variance reporting cadence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Weekly internal</w:t>
      </w:r>
      <w:r>
        <w:t xml:space="preserve">: cost-to-complete forecast vs P50 baseline, by WBS branch. Variance &gt;2% on any branch flagged for review.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Monthly client status</w:t>
      </w:r>
      <w:r>
        <w:t xml:space="preserve">: invoiced-vs-baseline at milestone level; no branch-level disclosure to client.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Monthly portfolio</w:t>
      </w:r>
      <w:r>
        <w:t xml:space="preserve">: cumulative cost variance, contingency consumed-to-date, contingency-remaining vs. risks-remaining.</w:t>
      </w:r>
    </w:p>
    <w:p>
      <w:pPr>
        <w:pStyle w:val="Heading3"/>
      </w:pPr>
      <w:bookmarkStart w:id="28" w:name="earned-value-method"/>
      <w:r>
        <w:t xml:space="preserve">6.2 Earned value method</w:t>
      </w:r>
      <w:bookmarkEnd w:id="28"/>
    </w:p>
    <w:p>
      <w:pPr>
        <w:pStyle w:val="FirstParagraph"/>
      </w:pPr>
      <w:r>
        <w:t xml:space="preserve">The project uses cost-plus-progress earned-value calculations:</w:t>
      </w:r>
    </w:p>
    <w:p>
      <w:pPr>
        <w:numPr>
          <w:ilvl w:val="0"/>
          <w:numId w:val="1003"/>
        </w:numPr>
        <w:pStyle w:val="Compact"/>
      </w:pPr>
      <w:r>
        <w:t xml:space="preserve">BCWP (Budgeted Cost of Work Performed) at each branch, calculated from progress percentages reported by the engineering, procurement, and construction leads.</w:t>
      </w:r>
    </w:p>
    <w:p>
      <w:pPr>
        <w:numPr>
          <w:ilvl w:val="0"/>
          <w:numId w:val="1003"/>
        </w:numPr>
        <w:pStyle w:val="Compact"/>
      </w:pPr>
      <w:r>
        <w:t xml:space="preserve">ACWP (Actual Cost of Work Performed) from invoiced and accrued cost data.</w:t>
      </w:r>
    </w:p>
    <w:p>
      <w:pPr>
        <w:numPr>
          <w:ilvl w:val="0"/>
          <w:numId w:val="1003"/>
        </w:numPr>
        <w:pStyle w:val="Compact"/>
      </w:pPr>
      <w:r>
        <w:t xml:space="preserve">BCWS (Budgeted Cost of Work Scheduled) from the schedule baseline.</w:t>
      </w:r>
    </w:p>
    <w:p>
      <w:pPr>
        <w:numPr>
          <w:ilvl w:val="0"/>
          <w:numId w:val="1003"/>
        </w:numPr>
        <w:pStyle w:val="Compact"/>
      </w:pPr>
      <w:r>
        <w:t xml:space="preserve">CPI (Cost Performance Index) = BCWP / ACWP. Target ≥ 1.00. CPI &lt; 0.95 on any branch triggers PM-Director conversation; CPI &lt; 0.90 triggers re-baseline review.</w:t>
      </w:r>
    </w:p>
    <w:p>
      <w:pPr>
        <w:pStyle w:val="Heading3"/>
      </w:pPr>
      <w:bookmarkStart w:id="29" w:name="re-baseline-thresholds"/>
      <w:r>
        <w:t xml:space="preserve">6.3 Re-baseline thresholds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Single-branch overrun exceeding $200k OR exceeding 10% of branch P50, whichever is smaller: cost update, no re-baseline.</w:t>
      </w:r>
    </w:p>
    <w:p>
      <w:pPr>
        <w:numPr>
          <w:ilvl w:val="0"/>
          <w:numId w:val="1004"/>
        </w:numPr>
        <w:pStyle w:val="Compact"/>
      </w:pPr>
      <w:r>
        <w:t xml:space="preserve">Single-branch overrun exceeding $500k OR exceeding 20% of branch P50: re-baseline that branch with rationale; change-order if client-driven, internal-only if Northwood-driven.</w:t>
      </w:r>
    </w:p>
    <w:p>
      <w:pPr>
        <w:numPr>
          <w:ilvl w:val="0"/>
          <w:numId w:val="1004"/>
        </w:numPr>
        <w:pStyle w:val="Compact"/>
      </w:pPr>
      <w:r>
        <w:t xml:space="preserve">Total project cost overrun exceeding $1.5M (60% of contingency) OR margin projection dropping below 5.1% (full-contingency-consumed floor): portfolio escalation per charter §11 governance; immediate Sponsor brief.</w:t>
      </w:r>
    </w:p>
    <w:p>
      <w:pPr>
        <w:pStyle w:val="FirstParagraph"/>
      </w:pPr>
      <w:r>
        <w:t xml:space="preserve">Cost-baseline-integrity owner: J. Okafor (PM) with Commercial Manager support. Weekly cost reviews include the Construction Manager, Procurement Lead, and Engineering Lead.</w:t>
      </w:r>
    </w:p>
    <w:p>
      <w:pPr>
        <w:pStyle w:val="Heading2"/>
      </w:pPr>
      <w:bookmarkStart w:id="30" w:name="cost-linked-risks"/>
      <w:r>
        <w:t xml:space="preserve">7. Cost-linked risks</w:t>
      </w:r>
      <w:bookmarkEnd w:id="30"/>
    </w:p>
    <w:p>
      <w:pPr>
        <w:pStyle w:val="FirstParagraph"/>
      </w:pPr>
      <w:r>
        <w:t xml:space="preserve">Five charter §8 risks have direct cost-impact channels. These are a subset of the charter §8 register, viewed through a cost lens; the register itself is not re-authored here.</w:t>
      </w:r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980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(charter §8)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impact 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WBS branch affected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Expected cost 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 in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 — Utility interconnection studies delivered late</w:t>
            </w:r>
          </w:p>
        </w:tc>
        <w:tc>
          <w:p>
            <w:pPr>
              <w:pStyle w:val="Compact"/>
              <w:jc w:val="left"/>
            </w:pPr>
            <w:r>
              <w:t xml:space="preserve">Standby crew, expediting, schedule-cost crossover</w:t>
            </w:r>
          </w:p>
        </w:tc>
        <w:tc>
          <w:p>
            <w:pPr>
              <w:pStyle w:val="Compact"/>
              <w:jc w:val="left"/>
            </w:pPr>
            <w:r>
              <w:t xml:space="preserve">Branch 5.0 / Commissioning windows</w:t>
            </w:r>
          </w:p>
        </w:tc>
        <w:tc>
          <w:p>
            <w:pPr>
              <w:pStyle w:val="Compact"/>
              <w:jc w:val="right"/>
            </w:pPr>
            <w:r>
              <w:t xml:space="preserve">$0.2–0.6M</w:t>
            </w:r>
          </w:p>
        </w:tc>
        <w:tc>
          <w:p>
            <w:pPr>
              <w:pStyle w:val="Compact"/>
              <w:jc w:val="left"/>
            </w:pPr>
            <w:r>
              <w:t xml:space="preserve">$400k contingency allocation (§4); schedule contingency in P80 (separate document)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 — BESS supply-chain disruption</w:t>
            </w:r>
          </w:p>
        </w:tc>
        <w:tc>
          <w:p>
            <w:pPr>
              <w:pStyle w:val="Compact"/>
              <w:jc w:val="left"/>
            </w:pPr>
            <w:r>
              <w:t xml:space="preserve">Re-qualification or expediting; potential margin erosion</w:t>
            </w:r>
          </w:p>
        </w:tc>
        <w:tc>
          <w:p>
            <w:pPr>
              <w:pStyle w:val="Compact"/>
              <w:jc w:val="left"/>
            </w:pPr>
            <w:r>
              <w:t xml:space="preserve">Branch 3.0 BESS</w:t>
            </w:r>
          </w:p>
        </w:tc>
        <w:tc>
          <w:p>
            <w:pPr>
              <w:pStyle w:val="Compact"/>
              <w:jc w:val="right"/>
            </w:pPr>
            <w:r>
              <w:t xml:space="preserve">$0.3–0.9M</w:t>
            </w:r>
          </w:p>
        </w:tc>
        <w:tc>
          <w:p>
            <w:pPr>
              <w:pStyle w:val="Compact"/>
              <w:jc w:val="left"/>
            </w:pPr>
            <w:r>
              <w:t xml:space="preserve">$600k contingency allocation; early PO, dual-source qualified, factory acceptance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 — Module degradation higher than design</w:t>
            </w:r>
          </w:p>
        </w:tc>
        <w:tc>
          <w:p>
            <w:pPr>
              <w:pStyle w:val="Compact"/>
              <w:jc w:val="left"/>
            </w:pPr>
            <w:r>
              <w:t xml:space="preserve">Replacement modules within warranty window</w:t>
            </w:r>
          </w:p>
        </w:tc>
        <w:tc>
          <w:p>
            <w:pPr>
              <w:pStyle w:val="Compact"/>
              <w:jc w:val="left"/>
            </w:pPr>
            <w:r>
              <w:t xml:space="preserve">Branch 3.0 PV modules</w:t>
            </w:r>
          </w:p>
        </w:tc>
        <w:tc>
          <w:p>
            <w:pPr>
              <w:pStyle w:val="Compact"/>
              <w:jc w:val="right"/>
            </w:pPr>
            <w:r>
              <w:t xml:space="preserve">$0.05–0.2M</w:t>
            </w:r>
          </w:p>
        </w:tc>
        <w:tc>
          <w:p>
            <w:pPr>
              <w:pStyle w:val="Compact"/>
              <w:jc w:val="left"/>
            </w:pPr>
            <w:r>
              <w:t xml:space="preserve">$150k contingency; manufacturer warranty primary, contingency secondary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 — Weather events during construction</w:t>
            </w:r>
          </w:p>
        </w:tc>
        <w:tc>
          <w:p>
            <w:pPr>
              <w:pStyle w:val="Compact"/>
              <w:jc w:val="left"/>
            </w:pPr>
            <w:r>
              <w:t xml:space="preserve">Recovery overtime, sequence re-engineering</w:t>
            </w:r>
          </w:p>
        </w:tc>
        <w:tc>
          <w:p>
            <w:pPr>
              <w:pStyle w:val="Compact"/>
              <w:jc w:val="left"/>
            </w:pPr>
            <w:r>
              <w:t xml:space="preserve">Branches 4.0 Civil and 5.0 Mech/Elec</w:t>
            </w:r>
          </w:p>
        </w:tc>
        <w:tc>
          <w:p>
            <w:pPr>
              <w:pStyle w:val="Compact"/>
              <w:jc w:val="right"/>
            </w:pPr>
            <w:r>
              <w:t xml:space="preserve">$0.3–0.7M</w:t>
            </w:r>
          </w:p>
        </w:tc>
        <w:tc>
          <w:p>
            <w:pPr>
              <w:pStyle w:val="Compact"/>
              <w:jc w:val="left"/>
            </w:pPr>
            <w:r>
              <w:t xml:space="preserve">$500k contingency allocation; weather-window-aware sequencing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 — Local labour shortage</w:t>
            </w:r>
          </w:p>
        </w:tc>
        <w:tc>
          <w:p>
            <w:pPr>
              <w:pStyle w:val="Compact"/>
              <w:jc w:val="left"/>
            </w:pPr>
            <w:r>
              <w:t xml:space="preserve">Retention bonuses, partner recruitment cost</w:t>
            </w:r>
          </w:p>
        </w:tc>
        <w:tc>
          <w:p>
            <w:pPr>
              <w:pStyle w:val="Compact"/>
              <w:jc w:val="left"/>
            </w:pPr>
            <w:r>
              <w:t xml:space="preserve">Branches 4.0, 5.0</w:t>
            </w:r>
          </w:p>
        </w:tc>
        <w:tc>
          <w:p>
            <w:pPr>
              <w:pStyle w:val="Compact"/>
              <w:jc w:val="right"/>
            </w:pPr>
            <w:r>
              <w:t xml:space="preserve">$0.2–0.5M</w:t>
            </w:r>
          </w:p>
        </w:tc>
        <w:tc>
          <w:p>
            <w:pPr>
              <w:pStyle w:val="Compact"/>
              <w:jc w:val="left"/>
            </w:pPr>
            <w:r>
              <w:t xml:space="preserve">$350k contingency; early recruitment, retention bonuses</w:t>
            </w:r>
          </w:p>
        </w:tc>
      </w:tr>
    </w:tbl>
    <w:p>
      <w:pPr>
        <w:pStyle w:val="Heading2"/>
      </w:pPr>
      <w:bookmarkStart w:id="31" w:name="conventions-used"/>
      <w:r>
        <w:t xml:space="preserve">8. Conventions used</w:t>
      </w:r>
      <w:bookmarkEnd w:id="31"/>
    </w:p>
    <w:p>
      <w:pPr>
        <w:pStyle w:val="FirstParagraph"/>
      </w:pPr>
      <w:r>
        <w:t xml:space="preserve">Five patterns this document follows, for traceability against the Northwood worked-example convention: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 baseline as P50 plus separately-tracked contingency.</w:t>
      </w:r>
      <w:r>
        <w:t xml:space="preserve"> </w:t>
      </w:r>
      <w:r>
        <w:t xml:space="preserve">The P50 budget ($62.0M) is the operational target. The $2.5M contingency is tracked separately. Combining them obscures both the operating-cost discipline and the risk-driven contingency reasoning.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Decomposition by WBS branch with confidence bands.</w:t>
      </w:r>
      <w:r>
        <w:t xml:space="preserve"> </w:t>
      </w:r>
      <w:r>
        <w:t xml:space="preserve">Each Level-2 WBS branch carries a P50 cost and a confidence band (Tight / Medium). Branches with Medium bands drive the contingency-allocation reasoning. The decomposition makes the cost baseline auditable against the WBS scope.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Contingency allocation reasoned against the risk register.</w:t>
      </w:r>
      <w:r>
        <w:t xml:space="preserve"> </w:t>
      </w:r>
      <w:r>
        <w:t xml:space="preserve">The $2.5M contingency is mapped to the five charter §8 risks (R1–R5) plus an unallocated reserve. This is the analytical view; the operational view is that the PM holds the $2.5M and may re-allocate. Re-allocation within the envelope is PM discretion; expansion beyond requires Director approval.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Cash flow tied to milestone schedule with net working capital tracked at each milestone.</w:t>
      </w:r>
      <w:r>
        <w:t xml:space="preserve"> </w:t>
      </w:r>
      <w:r>
        <w:t xml:space="preserve">The milestone-by-milestone cash projection is the basis for treasury planning and for catching the</w:t>
      </w:r>
      <w:r>
        <w:t xml:space="preserve"> </w:t>
      </w:r>
      <w:r>
        <w:t xml:space="preserve">“</w:t>
      </w:r>
      <w:r>
        <w:t xml:space="preserve">low point</w:t>
      </w:r>
      <w:r>
        <w:t xml:space="preserve">”</w:t>
      </w:r>
      <w:r>
        <w:t xml:space="preserve"> </w:t>
      </w:r>
      <w:r>
        <w:t xml:space="preserve">of net working capital before it becomes a problem.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Re-baseline thresholds in dollars and percentages, not judgement calls.</w:t>
      </w:r>
      <w:r>
        <w:t xml:space="preserve"> </w:t>
      </w:r>
      <w:r>
        <w:t xml:space="preserve">Single-branch and total-project thresholds are explicit. PM, Director, and Sponsor each have a clear escalation trigger.</w:t>
      </w:r>
    </w:p>
    <w:p>
      <w:pPr>
        <w:pStyle w:val="Heading2"/>
      </w:pPr>
      <w:bookmarkStart w:id="32" w:name="notes-for-downstream-agents"/>
      <w:r>
        <w:t xml:space="preserve">9. Notes for downstream agents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 Reporter.</w:t>
      </w:r>
      <w:r>
        <w:t xml:space="preserve"> </w:t>
      </w:r>
      <w:r>
        <w:t xml:space="preserve">Cost-variance reporting uses the WBS-branch table in §3 as the reference. The CPI ≥ 1.00 target and the 5.1% margin floor are the operational metrics to track week-on-week. Any branch reaching CPI &lt; 0.95 or any movement toward the contingency consumption that leaves R-tied risk uncovered is a status-report material item.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Risk Analyst.</w:t>
      </w:r>
      <w:r>
        <w:t xml:space="preserve"> </w:t>
      </w:r>
      <w:r>
        <w:t xml:space="preserve">The five cost-linked risks in §7 are a filtered view of the charter §8 register. R2 (BESS supply chain) is the highest-impact cost-channel risk; the $600k allocation reflects the single-vendor concentration consequence. If new risks emerge during execution with cost impact, the contingency-allocation analysis in §4 updates with them.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Variance Analyst.</w:t>
      </w:r>
      <w:r>
        <w:t xml:space="preserve"> </w:t>
      </w:r>
      <w:r>
        <w:t xml:space="preserve">This document is the cost baseline against which variance is measured. Re-baseline events per §6.3 update this document; the change log at the head of the WBS dictionary records each event with date and rationale.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Change Order Reviewer.</w:t>
      </w:r>
      <w:r>
        <w:t xml:space="preserve"> </w:t>
      </w:r>
      <w:r>
        <w:t xml:space="preserve">Client-driven scope changes update the contract value (charter §7), the affected WBS branches (§3), and the cost-to-complete projection (§5 milestone table). The change-order analysis package always includes the marginal impact on the margin floor.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2026-05-23T17:37:39Z</dcterms:created>
  <dcterms:modified xsi:type="dcterms:W3CDTF">2026-05-23T17:37:39Z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