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d5d992bc199f753675b6640417b073f4a3d652"/>
      <w:r>
        <w:t xml:space="preserve">Variance Analysis Report — Skyhawk Solar + Storage Phase 1 (Week 28 of 60)</w:t>
      </w:r>
      <w:bookmarkEnd w:id="20"/>
    </w:p>
    <w:p>
      <w:pPr>
        <w:pStyle w:val="BlockText"/>
      </w:pPr>
      <w:r>
        <w:rPr>
          <w:b/>
        </w:rPr>
        <w:t xml:space="preserve">Note on this document’s role as a worked example.</w:t>
      </w:r>
      <w:r>
        <w:t xml:space="preserve"> </w:t>
      </w:r>
      <w:r>
        <w:t xml:space="preserve">This is a Variance Analysis Report for Skyhawk Solar at a mid-execution state — Week 28 of the 60-week project (about 47% into the construction phase). The report shows the variance discipline as it operates with real variance data to analyse: schedule and cost movement against baseline, root-cause analysis on material variances, contingency drawdown, and recovery action commitments. When the Variance Analyst agent uses this as a worked example for a new project, two adaptations apply. First, at a Week 0 baseline state, the agent produces the variance-measurement</w:t>
      </w:r>
      <w:r>
        <w:t xml:space="preserve"> </w:t>
      </w:r>
      <w:r>
        <w:rPr>
          <w:i/>
        </w:rPr>
        <w:t xml:space="preserve">framework</w:t>
      </w:r>
      <w:r>
        <w:t xml:space="preserve"> </w:t>
      </w:r>
      <w:r>
        <w:t xml:space="preserve">rather than a populated variance report — there is no variance to analyse yet, only the structure to be used going forward. Second, items shown with inline italic annotations — root-cause attributions where the evidence is partial, recovery-action target dates dependent on subcontractor commitment, and contingency drawdown rates that depend on future risk closure — would carry</w:t>
      </w:r>
      <w:r>
        <w:t xml:space="preserve"> </w:t>
      </w:r>
      <w:r>
        <w:rPr>
          <w:rStyle w:val="VerbatimChar"/>
        </w:rPr>
        <w:t xml:space="preserve">[NEEDS PM REVIEW]</w:t>
      </w:r>
      <w:r>
        <w:t xml:space="preserve"> </w:t>
      </w:r>
      <w:r>
        <w:t xml:space="preserve">flags at draft stage. The Week 28 state shown reflects what the Skyhawk PM, Commercial Manager, and Schedule Engineer committed at that point in execution.</w:t>
      </w:r>
    </w:p>
    <w:p>
      <w:pPr>
        <w:pStyle w:val="Heading2"/>
      </w:pPr>
      <w:bookmarkStart w:id="21" w:name="project-context-and-report-period"/>
      <w:r>
        <w:t xml:space="preserve">1. Project context and report period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Project:</w:t>
      </w:r>
      <w:r>
        <w:t xml:space="preserve"> </w:t>
      </w:r>
      <w:r>
        <w:t xml:space="preserve">Skyhawk Solar + Storage Phase 1 (NW-REN-2207)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Client:</w:t>
      </w:r>
      <w:r>
        <w:t xml:space="preserve"> </w:t>
      </w:r>
      <w:r>
        <w:t xml:space="preserve">Skyhawk Renewables LLC (IPP)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Contract:</w:t>
      </w:r>
      <w:r>
        <w:t xml:space="preserve"> </w:t>
      </w:r>
      <w:r>
        <w:t xml:space="preserve">Fixed-price, $68.0M; approved budget $62.0M; Northwood contingency $2.5M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Northwood PM:</w:t>
      </w:r>
      <w:r>
        <w:t xml:space="preserve"> </w:t>
      </w:r>
      <w:r>
        <w:t xml:space="preserve">J. Okafor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Commercial Manager:</w:t>
      </w:r>
      <w:r>
        <w:t xml:space="preserve"> </w:t>
      </w:r>
      <w:r>
        <w:t xml:space="preserve">D. Reeves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Report period:</w:t>
      </w:r>
      <w:r>
        <w:t xml:space="preserve"> </w:t>
      </w:r>
      <w:r>
        <w:t xml:space="preserve">Week 28 of 60 (mid-civil, BESS in FAT, long-lead module deliveries ongoing)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Reporting cadence:</w:t>
      </w:r>
      <w:r>
        <w:t xml:space="preserve"> </w:t>
      </w:r>
      <w:r>
        <w:t xml:space="preserve">Monthly client status (Week 28 is also the cadence-point for the Week-28 client status report)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Variance baseline:</w:t>
      </w:r>
      <w:r>
        <w:t xml:space="preserve"> </w:t>
      </w:r>
      <w:r>
        <w:t xml:space="preserve">Cost baseline at run-equivalent of Skyhawk’s</w:t>
      </w:r>
      <w:r>
        <w:t xml:space="preserve"> </w:t>
      </w:r>
      <w:r>
        <w:rPr>
          <w:rStyle w:val="VerbatimChar"/>
        </w:rPr>
        <w:t xml:space="preserve">01e_budget_baseline.md</w:t>
      </w:r>
      <w:r>
        <w:t xml:space="preserve">; schedule baseline at Skyhawk’s planning-period schedule analysis</w:t>
      </w:r>
    </w:p>
    <w:p>
      <w:pPr>
        <w:pStyle w:val="Heading2"/>
      </w:pPr>
      <w:bookmarkStart w:id="22" w:name="executive-summary-variance-at-a-glance"/>
      <w:r>
        <w:t xml:space="preserve">2. Executive summary — variance at a glance</w:t>
      </w:r>
      <w:bookmarkEnd w:id="22"/>
    </w:p>
    <w:tbl>
      <w:tblPr>
        <w:tblStyle w:val="Table"/>
        <w:tblW w:type="pct" w:w="4999.999999999999"/>
        <w:tblLook w:firstRow="1"/>
      </w:tblPr>
      <w:tblGrid>
        <w:gridCol w:w="1827"/>
        <w:gridCol w:w="2436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At Week 28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/ band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Performance Index (CPI)</w:t>
            </w:r>
          </w:p>
        </w:tc>
        <w:tc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p>
            <w:pPr>
              <w:pStyle w:val="Compact"/>
              <w:jc w:val="left"/>
            </w:pPr>
            <w:r>
              <w:t xml:space="preserve">≥ 1.00</w:t>
            </w:r>
          </w:p>
        </w:tc>
        <w:tc>
          <w:p>
            <w:pPr>
              <w:pStyle w:val="Compact"/>
              <w:jc w:val="left"/>
            </w:pPr>
            <w:r>
              <w:t xml:space="preserve">Below target by 3% — explained, recovery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 Performance Index (SPI)</w:t>
            </w:r>
          </w:p>
        </w:tc>
        <w:tc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≥ 1.00</w:t>
            </w:r>
          </w:p>
        </w:tc>
        <w:tc>
          <w:p>
            <w:pPr>
              <w:pStyle w:val="Compact"/>
              <w:jc w:val="left"/>
            </w:pPr>
            <w:r>
              <w:t xml:space="preserve">Below target by 5% — 2-week slip on civil critical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Cumulative cost variance (CV)</w:t>
            </w:r>
          </w:p>
        </w:tc>
        <w:tc>
          <w:p>
            <w:pPr>
              <w:pStyle w:val="Compact"/>
              <w:jc w:val="right"/>
            </w:pPr>
            <w:r>
              <w:t xml:space="preserve">−$0.6M</w:t>
            </w:r>
          </w:p>
        </w:tc>
        <w:tc>
          <w:p>
            <w:pPr>
              <w:pStyle w:val="Compact"/>
              <w:jc w:val="left"/>
            </w:pPr>
            <w:r>
              <w:t xml:space="preserve">within ±2% of cumulative budget</w:t>
            </w:r>
          </w:p>
        </w:tc>
        <w:tc>
          <w:p>
            <w:pPr>
              <w:pStyle w:val="Compact"/>
              <w:jc w:val="left"/>
            </w:pPr>
            <w:r>
              <w:t xml:space="preserve">At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Cumulative schedule variance (SV)</w:t>
            </w:r>
          </w:p>
        </w:tc>
        <w:tc>
          <w:p>
            <w:pPr>
              <w:pStyle w:val="Compact"/>
              <w:jc w:val="right"/>
            </w:pPr>
            <w:r>
              <w:t xml:space="preserve">−10 days against planned milestones</w:t>
            </w:r>
          </w:p>
        </w:tc>
        <w:tc>
          <w:p>
            <w:pPr>
              <w:pStyle w:val="Compact"/>
              <w:jc w:val="left"/>
            </w:pPr>
            <w:r>
              <w:t xml:space="preserve">within ±14 days</w:t>
            </w:r>
          </w:p>
        </w:tc>
        <w:tc>
          <w:p>
            <w:pPr>
              <w:pStyle w:val="Compact"/>
              <w:jc w:val="left"/>
            </w:pPr>
            <w:r>
              <w:t xml:space="preserve">Within tolerance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Contingency consumed-to-date</w:t>
            </w:r>
          </w:p>
        </w:tc>
        <w:tc>
          <w:p>
            <w:pPr>
              <w:pStyle w:val="Compact"/>
              <w:jc w:val="right"/>
            </w:pPr>
            <w:r>
              <w:t xml:space="preserve">$0.7M of $2.5M (28%)</w:t>
            </w:r>
          </w:p>
        </w:tc>
        <w:tc>
          <w:p>
            <w:pPr>
              <w:pStyle w:val="Compact"/>
              <w:jc w:val="left"/>
            </w:pPr>
            <w:r>
              <w:t xml:space="preserve">Track ahead of risk closure</w:t>
            </w:r>
          </w:p>
        </w:tc>
        <w:tc>
          <w:p>
            <w:pPr>
              <w:pStyle w:val="Compact"/>
              <w:jc w:val="left"/>
            </w:pPr>
            <w:r>
              <w:t xml:space="preserve">Slightly ahead — explained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Contingency remaining vs unresolved risks</w:t>
            </w:r>
          </w:p>
        </w:tc>
        <w:tc>
          <w:p>
            <w:pPr>
              <w:pStyle w:val="Compact"/>
              <w:jc w:val="right"/>
            </w:pPr>
            <w:r>
              <w:t xml:space="preserve">$1.8M against R1, R3, R4 still live</w:t>
            </w:r>
          </w:p>
        </w:tc>
        <w:tc>
          <w:p>
            <w:pPr>
              <w:pStyle w:val="Compact"/>
              <w:jc w:val="left"/>
            </w:pPr>
            <w:r>
              <w:t xml:space="preserve">≥ sum of expected exposures</w:t>
            </w:r>
          </w:p>
        </w:tc>
        <w:tc>
          <w:p>
            <w:pPr>
              <w:pStyle w:val="Compact"/>
              <w:jc w:val="left"/>
            </w:pPr>
            <w:r>
              <w:t xml:space="preserve">Marginal — see §5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Projected margin at SC (P50)</w:t>
            </w:r>
          </w:p>
        </w:tc>
        <w:tc>
          <w:p>
            <w:pPr>
              <w:pStyle w:val="Compact"/>
              <w:jc w:val="right"/>
            </w:pPr>
            <w:r>
              <w:t xml:space="preserve">8.2%</w:t>
            </w:r>
          </w:p>
        </w:tc>
        <w:tc>
          <w:p>
            <w:pPr>
              <w:pStyle w:val="Compact"/>
              <w:jc w:val="left"/>
            </w:pPr>
            <w:r>
              <w:t xml:space="preserve">≥ 8.8% target</w:t>
            </w:r>
          </w:p>
        </w:tc>
        <w:tc>
          <w:p>
            <w:pPr>
              <w:pStyle w:val="Compact"/>
              <w:jc w:val="left"/>
            </w:pPr>
            <w:r>
              <w:t xml:space="preserve">Below target by 0.6%; above 5.1% distress floor</w:t>
            </w:r>
          </w:p>
        </w:tc>
      </w:tr>
    </w:tbl>
    <w:p>
      <w:pPr>
        <w:pStyle w:val="BodyText"/>
      </w:pPr>
      <w:r>
        <w:rPr>
          <w:b/>
        </w:rPr>
        <w:t xml:space="preserve">One-sentence summary.</w:t>
      </w:r>
      <w:r>
        <w:t xml:space="preserve"> </w:t>
      </w:r>
      <w:r>
        <w:t xml:space="preserve">Skyhawk is tracking 5% behind schedule and 3% over cost at Week 28 against an 8.8% target margin; the root causes are concentrated in two events (BESS vendor reselection in Week 18 and a two-week civil slip in Weeks 22–24), both of which have recovery plans active and contingency cover.</w:t>
      </w:r>
    </w:p>
    <w:p>
      <w:pPr>
        <w:pStyle w:val="Heading2"/>
      </w:pPr>
      <w:bookmarkStart w:id="23" w:name="schedule-variance-analysis"/>
      <w:r>
        <w:t xml:space="preserve">3. Schedule variance analysis</w:t>
      </w:r>
      <w:bookmarkEnd w:id="23"/>
    </w:p>
    <w:p>
      <w:pPr>
        <w:pStyle w:val="FirstParagraph"/>
      </w:pPr>
      <w:r>
        <w:t xml:space="preserve">The schedule baseline (from</w:t>
      </w:r>
      <w:r>
        <w:t xml:space="preserve"> </w:t>
      </w:r>
      <w:r>
        <w:rPr>
          <w:rStyle w:val="VerbatimChar"/>
        </w:rPr>
        <w:t xml:space="preserve">01_charter.md</w:t>
      </w:r>
      <w:r>
        <w:t xml:space="preserve"> </w:t>
      </w:r>
      <w:r>
        <w:t xml:space="preserve">§6 milestones and the underlying construction schedule) anchors on five critical-path chains. Variance is reported by chain.</w:t>
      </w:r>
    </w:p>
    <w:tbl>
      <w:tblPr>
        <w:tblStyle w:val="Table"/>
        <w:tblW w:type="pct" w:w="5000.0"/>
        <w:tblLook w:firstRow="1"/>
      </w:tblPr>
      <w:tblGrid>
        <w:gridCol w:w="1188"/>
        <w:gridCol w:w="1188"/>
        <w:gridCol w:w="1188"/>
        <w:gridCol w:w="1188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 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Planned end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Actual / forecast end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Variance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SPI (chain)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— Detailed Engineering</w:t>
            </w:r>
          </w:p>
        </w:tc>
        <w:tc>
          <w:p>
            <w:pPr>
              <w:pStyle w:val="Compact"/>
              <w:jc w:val="left"/>
            </w:pPr>
            <w:r>
              <w:t xml:space="preserve">Engineering 60% review</w:t>
            </w:r>
          </w:p>
        </w:tc>
        <w:tc>
          <w:p>
            <w:pPr>
              <w:pStyle w:val="Compact"/>
              <w:jc w:val="left"/>
            </w:pPr>
            <w:r>
              <w:t xml:space="preserve">Week 11</w:t>
            </w:r>
          </w:p>
        </w:tc>
        <w:tc>
          <w:p>
            <w:pPr>
              <w:pStyle w:val="Compact"/>
              <w:jc w:val="left"/>
            </w:pPr>
            <w:r>
              <w:t xml:space="preserve">Week 11</w:t>
            </w:r>
          </w:p>
        </w:tc>
        <w:tc>
          <w:p>
            <w:pPr>
              <w:pStyle w:val="Compact"/>
              <w:jc w:val="right"/>
            </w:pPr>
            <w:r>
              <w:t xml:space="preserve">0 days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 — Long-lead procurement</w:t>
            </w:r>
          </w:p>
        </w:tc>
        <w:tc>
          <w:p>
            <w:pPr>
              <w:pStyle w:val="Compact"/>
              <w:jc w:val="left"/>
            </w:pPr>
            <w:r>
              <w:t xml:space="preserve">BESS PO release</w:t>
            </w:r>
          </w:p>
        </w:tc>
        <w:tc>
          <w:p>
            <w:pPr>
              <w:pStyle w:val="Compact"/>
              <w:jc w:val="left"/>
            </w:pPr>
            <w:r>
              <w:t xml:space="preserve">Week 15</w:t>
            </w:r>
          </w:p>
        </w:tc>
        <w:tc>
          <w:p>
            <w:pPr>
              <w:pStyle w:val="Compact"/>
              <w:jc w:val="left"/>
            </w:pPr>
            <w:r>
              <w:t xml:space="preserve">Week 18</w:t>
            </w:r>
            <w:r>
              <w:t xml:space="preserve"> </w:t>
            </w:r>
            <w:r>
              <w:rPr>
                <w:i/>
              </w:rPr>
              <w:t xml:space="preserve">(at draft stage [NEEDS PM REVIEW: confirm against signed PO date]; PO released Week 18 to alternate vendor)</w:t>
            </w:r>
          </w:p>
        </w:tc>
        <w:tc>
          <w:p>
            <w:pPr>
              <w:pStyle w:val="Compact"/>
              <w:jc w:val="right"/>
            </w:pPr>
            <w:r>
              <w:t xml:space="preserve">+21 days</w:t>
            </w:r>
          </w:p>
        </w:tc>
        <w:tc>
          <w:p>
            <w:pPr>
              <w:pStyle w:val="Compact"/>
              <w:jc w:val="right"/>
            </w:pPr>
            <w:r>
              <w:t xml:space="preserve">0.86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 — Long-lead procurement</w:t>
            </w:r>
          </w:p>
        </w:tc>
        <w:tc>
          <w:p>
            <w:pPr>
              <w:pStyle w:val="Compact"/>
              <w:jc w:val="left"/>
            </w:pPr>
            <w:r>
              <w:t xml:space="preserve">Modules and inverters delivered</w:t>
            </w:r>
          </w:p>
        </w:tc>
        <w:tc>
          <w:p>
            <w:pPr>
              <w:pStyle w:val="Compact"/>
              <w:jc w:val="left"/>
            </w:pPr>
            <w:r>
              <w:t xml:space="preserve">Week 26</w:t>
            </w:r>
          </w:p>
        </w:tc>
        <w:tc>
          <w:p>
            <w:pPr>
              <w:pStyle w:val="Compact"/>
              <w:jc w:val="left"/>
            </w:pPr>
            <w:r>
              <w:t xml:space="preserve">Week 25</w:t>
            </w:r>
          </w:p>
        </w:tc>
        <w:tc>
          <w:p>
            <w:pPr>
              <w:pStyle w:val="Compact"/>
              <w:jc w:val="right"/>
            </w:pPr>
            <w:r>
              <w:t xml:space="preserve">−7 days (ahead)</w:t>
            </w:r>
          </w:p>
        </w:tc>
        <w:tc>
          <w:p>
            <w:pPr>
              <w:pStyle w:val="Compact"/>
              <w:jc w:val="right"/>
            </w:pPr>
            <w:r>
              <w:t xml:space="preserve">1.05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 — Civil construction</w:t>
            </w:r>
          </w:p>
        </w:tc>
        <w:tc>
          <w:p>
            <w:pPr>
              <w:pStyle w:val="Compact"/>
              <w:jc w:val="left"/>
            </w:pPr>
            <w:r>
              <w:t xml:space="preserve">Foundation pour 50% complete</w:t>
            </w:r>
          </w:p>
        </w:tc>
        <w:tc>
          <w:p>
            <w:pPr>
              <w:pStyle w:val="Compact"/>
              <w:jc w:val="left"/>
            </w:pPr>
            <w:r>
              <w:t xml:space="preserve">Week 26</w:t>
            </w:r>
          </w:p>
        </w:tc>
        <w:tc>
          <w:p>
            <w:pPr>
              <w:pStyle w:val="Compact"/>
              <w:jc w:val="left"/>
            </w:pPr>
            <w:r>
              <w:t xml:space="preserve">Week 28</w:t>
            </w:r>
          </w:p>
        </w:tc>
        <w:tc>
          <w:p>
            <w:pPr>
              <w:pStyle w:val="Compact"/>
              <w:jc w:val="right"/>
            </w:pPr>
            <w:r>
              <w:t xml:space="preserve">+14 days</w:t>
            </w:r>
          </w:p>
        </w:tc>
        <w:tc>
          <w:p>
            <w:pPr>
              <w:pStyle w:val="Compact"/>
              <w:jc w:val="right"/>
            </w:pPr>
            <w:r>
              <w:t xml:space="preserve">0.93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 — Mechanical erection</w:t>
            </w:r>
          </w:p>
        </w:tc>
        <w:tc>
          <w:p>
            <w:pPr>
              <w:pStyle w:val="Compact"/>
              <w:jc w:val="left"/>
            </w:pPr>
            <w:r>
              <w:t xml:space="preserve">Not yet started</w:t>
            </w:r>
          </w:p>
        </w:tc>
        <w:tc>
          <w:p>
            <w:pPr>
              <w:pStyle w:val="Compact"/>
              <w:jc w:val="left"/>
            </w:pPr>
            <w:r>
              <w:t xml:space="preserve">Week 32 planned start</w:t>
            </w:r>
          </w:p>
        </w:tc>
        <w:tc>
          <w:p>
            <w:pPr>
              <w:pStyle w:val="Compact"/>
              <w:jc w:val="left"/>
            </w:pPr>
            <w:r>
              <w:t xml:space="preserve">Week 33 forecast start</w:t>
            </w:r>
          </w:p>
        </w:tc>
        <w:tc>
          <w:p>
            <w:pPr>
              <w:pStyle w:val="Compact"/>
              <w:jc w:val="right"/>
            </w:pPr>
            <w:r>
              <w:t xml:space="preserve">+7 days</w:t>
            </w:r>
          </w:p>
        </w:tc>
        <w:tc>
          <w:p>
            <w:pPr>
              <w:pStyle w:val="Compact"/>
              <w:jc w:val="right"/>
            </w:pPr>
            <w:r>
              <w:t xml:space="preserve">(forecast)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 — Commissioning and performance test</w:t>
            </w:r>
          </w:p>
        </w:tc>
        <w:tc>
          <w:p>
            <w:pPr>
              <w:pStyle w:val="Compact"/>
              <w:jc w:val="left"/>
            </w:pPr>
            <w:r>
              <w:t xml:space="preserve">Not yet started</w:t>
            </w:r>
          </w:p>
        </w:tc>
        <w:tc>
          <w:p>
            <w:pPr>
              <w:pStyle w:val="Compact"/>
              <w:jc w:val="left"/>
            </w:pPr>
            <w:r>
              <w:t xml:space="preserve">Week 52 planned start</w:t>
            </w:r>
          </w:p>
        </w:tc>
        <w:tc>
          <w:p>
            <w:pPr>
              <w:pStyle w:val="Compact"/>
              <w:jc w:val="left"/>
            </w:pPr>
            <w:r>
              <w:t xml:space="preserve">Week 52 forecast start</w:t>
            </w:r>
          </w:p>
        </w:tc>
        <w:tc>
          <w:p>
            <w:pPr>
              <w:pStyle w:val="Compact"/>
              <w:jc w:val="right"/>
            </w:pPr>
            <w:r>
              <w:t xml:space="preserve">0 days</w:t>
            </w:r>
          </w:p>
        </w:tc>
        <w:tc>
          <w:p>
            <w:pPr>
              <w:pStyle w:val="Compact"/>
              <w:jc w:val="right"/>
            </w:pPr>
            <w:r>
              <w:t xml:space="preserve">(forecast)</w:t>
            </w:r>
          </w:p>
        </w:tc>
      </w:tr>
    </w:tbl>
    <w:p>
      <w:pPr>
        <w:pStyle w:val="BodyText"/>
      </w:pPr>
      <w:r>
        <w:rPr>
          <w:b/>
        </w:rPr>
        <w:t xml:space="preserve">Convergence assessment.</w:t>
      </w:r>
      <w:r>
        <w:t xml:space="preserve"> </w:t>
      </w:r>
      <w:r>
        <w:t xml:space="preserve">Chain B BESS slip (Week 18 PO) has not yet propagated to Chain D mechanical erection because the BESS delivery slot is in Week 38 — sufficient buffer remains between PO release and required-on-site. Chain C civil slip (2 weeks against foundation milestone) is partially recoverable through subcontractor overtime in Weeks 29–32; the recovery plan targets re-alignment by Week 32. If neither recovery succeeds, Chain D start slips one week, which is recoverable within float to SC.</w:t>
      </w:r>
    </w:p>
    <w:p>
      <w:pPr>
        <w:pStyle w:val="BodyText"/>
      </w:pPr>
      <w:r>
        <w:rPr>
          <w:b/>
        </w:rPr>
        <w:t xml:space="preserve">Net schedule position at Week 28.</w:t>
      </w:r>
      <w:r>
        <w:t xml:space="preserve"> </w:t>
      </w:r>
      <w:r>
        <w:t xml:space="preserve">Critical path is currently behind by 14 days (Chain C civil). Float to SC remains positive at +20 days. The 30-day window between planned SC (Week 60) and the next external commitment (PPA energisation) is preserved.</w:t>
      </w:r>
    </w:p>
    <w:p>
      <w:pPr>
        <w:pStyle w:val="Heading2"/>
      </w:pPr>
      <w:bookmarkStart w:id="24" w:name="cost-variance-analysis"/>
      <w:r>
        <w:t xml:space="preserve">4. Cost variance analysis</w:t>
      </w:r>
      <w:bookmarkEnd w:id="24"/>
    </w:p>
    <w:p>
      <w:pPr>
        <w:pStyle w:val="FirstParagraph"/>
      </w:pPr>
      <w:r>
        <w:t xml:space="preserve">Cost variance is reported by WBS Level-2 branch, against the P50 baseline of $62.0M (from</w:t>
      </w:r>
      <w:r>
        <w:t xml:space="preserve"> </w:t>
      </w:r>
      <w:r>
        <w:rPr>
          <w:rStyle w:val="VerbatimChar"/>
        </w:rPr>
        <w:t xml:space="preserve">01e_budget_baseline.md</w:t>
      </w:r>
      <w:r>
        <w:t xml:space="preserve"> </w:t>
      </w:r>
      <w:r>
        <w:t xml:space="preserve">§3).</w:t>
      </w:r>
    </w:p>
    <w:tbl>
      <w:tblPr>
        <w:tblStyle w:val="Table"/>
        <w:tblW w:type="pct" w:w="5000.0"/>
        <w:tblLook w:firstRow="1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WBS 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P50 baseline (</w:t>
            </w:r>
            <m:oMath>
              <m:r>
                <m:t>M</m:t>
              </m:r>
              <m:r>
                <m:t>)</m:t>
              </m:r>
              <m:r>
                <m:t>|</m:t>
              </m:r>
              <m:r>
                <m:t>B</m:t>
              </m:r>
              <m:r>
                <m:t>C</m:t>
              </m:r>
              <m:r>
                <m:t>W</m:t>
              </m:r>
              <m:r>
                <m:t>P</m:t>
              </m:r>
              <m:r>
                <m:t>a</m:t>
              </m:r>
              <m:r>
                <m:t>t</m:t>
              </m:r>
              <m:r>
                <m:t>W</m:t>
              </m:r>
              <m:r>
                <m:t>e</m:t>
              </m:r>
              <m:r>
                <m:t>e</m:t>
              </m:r>
              <m:r>
                <m:t>k</m:t>
              </m:r>
              <m:r>
                <m:t>28</m:t>
              </m:r>
              <m:r>
                <m:t>(</m:t>
              </m:r>
            </m:oMath>
            <w:r>
              <w:t xml:space="preserve">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ACWP at Week 28 (</w:t>
            </w:r>
            <m:oMath>
              <m:r>
                <m:t>M</m:t>
              </m:r>
              <m:r>
                <m:t>)</m:t>
              </m:r>
              <m:r>
                <m:t>|</m:t>
              </m:r>
              <m:r>
                <m:t>V</m:t>
              </m:r>
              <m:r>
                <m:t>a</m:t>
              </m:r>
              <m:r>
                <m:t>r</m:t>
              </m:r>
              <m:r>
                <m:t>i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  <m:r>
                <m:t>(</m:t>
              </m:r>
            </m:oMath>
            <w:r>
              <w:t xml:space="preserve">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CPI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</w:tr>
      <w:tr>
        <w:tc>
          <w:p>
            <w:pPr>
              <w:pStyle w:val="Compact"/>
              <w:jc w:val="left"/>
            </w:pPr>
            <w:r>
              <w:t xml:space="preserve">1.0 Project Management</w:t>
            </w:r>
          </w:p>
        </w:tc>
        <w:tc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p>
            <w:pPr>
              <w:pStyle w:val="Compact"/>
              <w:jc w:val="right"/>
            </w:pPr>
            <w:r>
              <w:t xml:space="preserve">−0.06</w:t>
            </w:r>
          </w:p>
        </w:tc>
        <w:tc>
          <w:p>
            <w:pPr>
              <w:pStyle w:val="Compact"/>
              <w:jc w:val="right"/>
            </w:pPr>
            <w:r>
              <w:t xml:space="preserve">0.96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 Engineering &amp; Design</w:t>
            </w:r>
          </w:p>
        </w:tc>
        <w:tc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p>
            <w:pPr>
              <w:pStyle w:val="Compact"/>
              <w:jc w:val="right"/>
            </w:pPr>
            <w:r>
              <w:t xml:space="preserve">+0.05</w:t>
            </w:r>
          </w:p>
        </w:tc>
        <w:tc>
          <w:p>
            <w:pPr>
              <w:pStyle w:val="Compact"/>
              <w:jc w:val="right"/>
            </w:pPr>
            <w:r>
              <w:t xml:space="preserve">1.02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 Procurement — Modules</w:t>
            </w:r>
          </w:p>
        </w:tc>
        <w:tc>
          <w:p>
            <w:pPr>
              <w:pStyle w:val="Compact"/>
              <w:jc w:val="right"/>
            </w:pPr>
            <w:r>
              <w:t xml:space="preserve">18.6</w:t>
            </w:r>
          </w:p>
        </w:tc>
        <w:tc>
          <w:p>
            <w:pPr>
              <w:pStyle w:val="Compact"/>
              <w:jc w:val="right"/>
            </w:pPr>
            <w:r>
              <w:t xml:space="preserve">18.6</w:t>
            </w:r>
          </w:p>
        </w:tc>
        <w:tc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p>
            <w:pPr>
              <w:pStyle w:val="Compact"/>
              <w:jc w:val="right"/>
            </w:pPr>
            <w:r>
              <w:t xml:space="preserve">+0.6</w:t>
            </w:r>
          </w:p>
        </w:tc>
        <w:tc>
          <w:p>
            <w:pPr>
              <w:pStyle w:val="Compact"/>
              <w:jc w:val="right"/>
            </w:pPr>
            <w:r>
              <w:t xml:space="preserve">1.03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 Procurement — Inverters</w:t>
            </w:r>
          </w:p>
        </w:tc>
        <w:tc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 Procurement — BESS</w:t>
            </w:r>
          </w:p>
        </w:tc>
        <w:tc>
          <w:p>
            <w:pPr>
              <w:pStyle w:val="Compact"/>
              <w:jc w:val="right"/>
            </w:pPr>
            <w:r>
              <w:t xml:space="preserve">9.3</w:t>
            </w:r>
          </w:p>
        </w:tc>
        <w:tc>
          <w:p>
            <w:pPr>
              <w:pStyle w:val="Compact"/>
              <w:jc w:val="right"/>
            </w:pPr>
            <w:r>
              <w:t xml:space="preserve">9.3</w:t>
            </w:r>
          </w:p>
        </w:tc>
        <w:tc>
          <w:p>
            <w:pPr>
              <w:pStyle w:val="Compact"/>
              <w:jc w:val="right"/>
            </w:pPr>
            <w:r>
              <w:t xml:space="preserve">9.7</w:t>
            </w:r>
          </w:p>
        </w:tc>
        <w:tc>
          <w:p>
            <w:pPr>
              <w:pStyle w:val="Compact"/>
              <w:jc w:val="right"/>
            </w:pPr>
            <w:r>
              <w:t xml:space="preserve">−0.4</w:t>
            </w:r>
            <w:r>
              <w:t xml:space="preserve"> </w:t>
            </w:r>
            <w:r>
              <w:rPr>
                <w:i/>
              </w:rPr>
              <w:t xml:space="preserve">(at draft stage [NEEDS PM REVIEW: confirm against final PO with vendor-2]; finalised at $9.7M against budget $9.3M)</w:t>
            </w:r>
          </w:p>
        </w:tc>
        <w:tc>
          <w:p>
            <w:pPr>
              <w:pStyle w:val="Compact"/>
              <w:jc w:val="right"/>
            </w:pPr>
            <w:r>
              <w:t xml:space="preserve">0.96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 Procurement — Substation</w:t>
            </w:r>
          </w:p>
        </w:tc>
        <w:tc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 Procurement — Racking</w:t>
            </w:r>
          </w:p>
        </w:tc>
        <w:tc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 Procurement — BOS electrical</w:t>
            </w:r>
          </w:p>
        </w:tc>
        <w:tc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p>
            <w:pPr>
              <w:pStyle w:val="Compact"/>
              <w:jc w:val="right"/>
            </w:pPr>
            <w:r>
              <w:t xml:space="preserve">−0.05</w:t>
            </w:r>
          </w:p>
        </w:tc>
        <w:tc>
          <w:p>
            <w:pPr>
              <w:pStyle w:val="Compact"/>
              <w:jc w:val="right"/>
            </w:pPr>
            <w:r>
              <w:t xml:space="preserve">0.98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4.0 Civil construction</w:t>
            </w:r>
          </w:p>
        </w:tc>
        <w:tc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p>
            <w:pPr>
              <w:pStyle w:val="Compact"/>
              <w:jc w:val="right"/>
            </w:pPr>
            <w:r>
              <w:t xml:space="preserve">−0.3</w:t>
            </w:r>
          </w:p>
        </w:tc>
        <w:tc>
          <w:p>
            <w:pPr>
              <w:pStyle w:val="Compact"/>
              <w:jc w:val="right"/>
            </w:pPr>
            <w:r>
              <w:t xml:space="preserve">0.87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5.0 Mechanical / electrical install</w:t>
            </w:r>
          </w:p>
        </w:tc>
        <w:tc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(n/a)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6.0 Commissioning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(n/a)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7.0 Project close</w:t>
            </w:r>
          </w:p>
        </w:tc>
        <w:tc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(n/a)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 total — committed-and-spent</w:t>
            </w:r>
          </w:p>
        </w:tc>
        <w:tc>
          <w:p>
            <w:pPr>
              <w:pStyle w:val="Compact"/>
              <w:jc w:val="right"/>
            </w:pPr>
            <w:r>
              <w:t xml:space="preserve">62.0</w:t>
            </w:r>
          </w:p>
        </w:tc>
        <w:tc>
          <w:p>
            <w:pPr>
              <w:pStyle w:val="Compact"/>
              <w:jc w:val="right"/>
            </w:pPr>
            <w:r>
              <w:t xml:space="preserve">50.04</w:t>
            </w:r>
          </w:p>
        </w:tc>
        <w:tc>
          <w:p>
            <w:pPr>
              <w:pStyle w:val="Compact"/>
              <w:jc w:val="right"/>
            </w:pPr>
            <w:r>
              <w:t xml:space="preserve">50.20</w:t>
            </w:r>
          </w:p>
        </w:tc>
        <w:tc>
          <w:p>
            <w:pPr>
              <w:pStyle w:val="Compact"/>
              <w:jc w:val="right"/>
            </w:pPr>
            <w:r>
              <w:t xml:space="preserve">−0.16</w:t>
            </w:r>
          </w:p>
        </w:tc>
        <w:tc>
          <w:p>
            <w:pPr>
              <w:pStyle w:val="Compact"/>
              <w:jc w:val="right"/>
            </w:pPr>
            <w:r>
              <w:t xml:space="preserve">0.997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 total — forward-projected to SC</w:t>
            </w:r>
          </w:p>
        </w:tc>
        <w:tc>
          <w:p>
            <w:pPr>
              <w:pStyle w:val="Compact"/>
              <w:jc w:val="right"/>
            </w:pPr>
            <w:r>
              <w:t xml:space="preserve">62.0</w:t>
            </w:r>
          </w:p>
        </w:tc>
        <w:tc>
          <w:p>
            <w:pPr>
              <w:pStyle w:val="Compact"/>
              <w:jc w:val="right"/>
            </w:pPr>
            <w:r>
              <w:t xml:space="preserve">62.0</w:t>
            </w:r>
          </w:p>
        </w:tc>
        <w:tc>
          <w:p>
            <w:pPr>
              <w:pStyle w:val="Compact"/>
              <w:jc w:val="right"/>
            </w:pPr>
            <w:r>
              <w:t xml:space="preserve">62.6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−0.6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0.97</w:t>
            </w:r>
          </w:p>
        </w:tc>
      </w:tr>
    </w:tbl>
    <w:p>
      <w:pPr>
        <w:pStyle w:val="BodyText"/>
      </w:pPr>
      <w:r>
        <w:rPr>
          <w:b/>
        </w:rPr>
        <w:t xml:space="preserve">Largest variance items.</w:t>
      </w:r>
      <w:r>
        <w:t xml:space="preserve"> </w:t>
      </w:r>
      <w:r>
        <w:t xml:space="preserve">Two branches drive the cumulative variance: BESS (−$0.4M, vendor reselection in Week 18) and Civil (−$0.3M, sub-grade conditions worse than design assumption discovered in Weeks 22–24). Module variance is favourable (+$0.6M, vendor competition stronger than bid assumption); this offset cushions but does not eliminate the unfavourable variances.</w:t>
      </w:r>
    </w:p>
    <w:p>
      <w:pPr>
        <w:pStyle w:val="Heading2"/>
      </w:pPr>
      <w:bookmarkStart w:id="25" w:name="contingency-consumption-status"/>
      <w:r>
        <w:t xml:space="preserve">5. Contingency consumption status</w:t>
      </w:r>
      <w:bookmarkEnd w:id="25"/>
    </w:p>
    <w:p>
      <w:pPr>
        <w:pStyle w:val="FirstParagraph"/>
      </w:pPr>
      <w:r>
        <w:t xml:space="preserve">The $2.5M contingency from charter §7 was analytically allocated against R1–R5 in</w:t>
      </w:r>
      <w:r>
        <w:t xml:space="preserve"> </w:t>
      </w:r>
      <w:r>
        <w:rPr>
          <w:rStyle w:val="VerbatimChar"/>
        </w:rPr>
        <w:t xml:space="preserve">01e_budget_baseline.md</w:t>
      </w:r>
      <w:r>
        <w:t xml:space="preserve"> </w:t>
      </w:r>
      <w:r>
        <w:t xml:space="preserve">§4. The Week 28 consumption status:</w:t>
      </w:r>
    </w:p>
    <w:tbl>
      <w:tblPr>
        <w:tblStyle w:val="Table"/>
        <w:tblW w:type="pct" w:w="4999.999999999999"/>
        <w:tblLook w:firstRow="1"/>
      </w:tblPr>
      <w:tblGrid>
        <w:gridCol w:w="1320"/>
        <w:gridCol w:w="1760"/>
        <w:gridCol w:w="1760"/>
        <w:gridCol w:w="176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Allocation (</w:t>
            </w:r>
            <m:oMath>
              <m:r>
                <m:t>k</m:t>
              </m:r>
              <m:r>
                <m:t>)</m:t>
              </m:r>
              <m:r>
                <m:t>|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u</m:t>
              </m:r>
              <m:r>
                <m:t>m</m:t>
              </m:r>
              <m:r>
                <m:t>e</m:t>
              </m:r>
              <m:r>
                <m:t>d</m:t>
              </m:r>
              <m:r>
                <m:t>−</m:t>
              </m:r>
              <m:r>
                <m:t>t</m:t>
              </m:r>
              <m:r>
                <m:t>o</m:t>
              </m:r>
              <m:r>
                <m:t>−</m:t>
              </m:r>
              <m:r>
                <m:t>d</m:t>
              </m:r>
              <m:r>
                <m:t>a</m:t>
              </m:r>
              <m:r>
                <m:t>t</m:t>
              </m:r>
              <m:r>
                <m:t>e</m:t>
              </m:r>
              <m:r>
                <m:t>(</m:t>
              </m:r>
            </m:oMath>
            <w:r>
              <w:t xml:space="preserve">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Remaining ($k)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Risk status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</w:tr>
      <w:tr>
        <w:tc>
          <w:p>
            <w:pPr>
              <w:pStyle w:val="Compact"/>
              <w:jc w:val="left"/>
            </w:pPr>
            <w:r>
              <w:t xml:space="preserve">R1 — Utility interconnection late</w:t>
            </w:r>
          </w:p>
        </w:tc>
        <w:tc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Live — utility studies on track; first energisation test scheduled Week 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 — BESS supply disruption</w:t>
            </w:r>
          </w:p>
        </w:tc>
        <w:tc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Realised — vendor-2 reselection consumed; closing remainder if no further disruption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 — Module degradation</w:t>
            </w:r>
          </w:p>
        </w:tc>
        <w:tc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Live — modules in commissioning warranty window once erected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 — Weather / monsoon</w:t>
            </w:r>
          </w:p>
        </w:tc>
        <w:tc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Live — monsoon season Weeks 35–48; impact not yet materialised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 — Local labour shortage</w:t>
            </w:r>
          </w:p>
        </w:tc>
        <w:tc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Partially realised — civil slip Weeks 22–24 attributable in part to local labour availability; retention bonus drawdown $200k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Unallocated reserve</w:t>
            </w:r>
          </w:p>
        </w:tc>
        <w:tc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$100k drawn against sub-grade investigation cost not anticipated in any risk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2,500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700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1,800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Coverage analysis.</w:t>
      </w:r>
      <w:r>
        <w:t xml:space="preserve"> </w:t>
      </w:r>
      <w:r>
        <w:t xml:space="preserve">Remaining contingency $1.8M against live risks projected exposure (R1 + R3 + R4 worst case ≈ $1.05M, R5 residual ≈ $150k, unallocated buffer $400k = total reserved exposure ≈ $1.6M). Margin of $200k on residual contingency vs residual risk exposure — tight but positive. If monsoon season produces material productivity loss (R4 realised), the $500k allocation may not cover, and the unallocated reserve becomes the secondary source. PM authority on additional contingency draw is exhausted at $500k beyond original allocation; Director approval required for any unanticipated event exceeding that.</w:t>
      </w:r>
    </w:p>
    <w:p>
      <w:pPr>
        <w:pStyle w:val="Heading2"/>
      </w:pPr>
      <w:bookmarkStart w:id="26" w:name="variance-root-cause-analysis"/>
      <w:r>
        <w:t xml:space="preserve">6. Variance root cause analysis</w:t>
      </w:r>
      <w:bookmarkEnd w:id="26"/>
    </w:p>
    <w:p>
      <w:pPr>
        <w:pStyle w:val="FirstParagraph"/>
      </w:pPr>
      <w:r>
        <w:t xml:space="preserve">Two material variances warrant detailed root-cause analysis at this report period.</w:t>
      </w:r>
    </w:p>
    <w:p>
      <w:pPr>
        <w:pStyle w:val="Heading3"/>
      </w:pPr>
      <w:bookmarkStart w:id="27" w:name="X4a1cd11e086dba76ad29ad504f148b771875d05"/>
      <w:r>
        <w:t xml:space="preserve">6.1 BESS PO slip from Week 15 to Week 18 ($0.4M cost, 21 days schedule)</w:t>
      </w:r>
      <w:bookmarkEnd w:id="27"/>
    </w:p>
    <w:p>
      <w:pPr>
        <w:pStyle w:val="FirstParagraph"/>
      </w:pPr>
      <w:r>
        <w:rPr>
          <w:b/>
        </w:rPr>
        <w:t xml:space="preserve">Trigger event.</w:t>
      </w:r>
      <w:r>
        <w:t xml:space="preserve"> </w:t>
      </w:r>
      <w:r>
        <w:t xml:space="preserve">Original BESS vendor selected in proposal stage and confirmed at Week 6 review showed deteriorating financial-health indicators in Q3 vendor monitoring (Weeks 12–14): declining cash position, two analyst downgrades, supply-chain disruption reports from independent vendor’s prior projects.</w:t>
      </w:r>
    </w:p>
    <w:p>
      <w:pPr>
        <w:pStyle w:val="BodyText"/>
      </w:pPr>
      <w:r>
        <w:rPr>
          <w:b/>
        </w:rPr>
        <w:t xml:space="preserve">Decision sequence.</w:t>
      </w:r>
      <w:r>
        <w:t xml:space="preserve"> </w:t>
      </w:r>
      <w:r>
        <w:t xml:space="preserve">Week 14: Procurement Lead flagged the indicators; PM and Director reviewed in week-end meeting; decision made to suspend PO release pending alternate-vendor qualification. Week 15: alternate vendor (qualified in proposal but not preferred on price) engaged for accelerated commercial discussion. Week 17: alternate vendor commercial terms agreed at +$0.4M against original vendor’s proposed price. Week 18: PO released.</w:t>
      </w:r>
    </w:p>
    <w:p>
      <w:pPr>
        <w:pStyle w:val="BodyText"/>
      </w:pPr>
      <w:r>
        <w:rPr>
          <w:b/>
        </w:rPr>
        <w:t xml:space="preserve">Root cause classification.</w:t>
      </w:r>
      <w:r>
        <w:t xml:space="preserve"> </w:t>
      </w:r>
      <w:r>
        <w:t xml:space="preserve">External — vendor financial-health deterioration. Northwood acted prudently in not releasing the PO to a vendor at financial risk; the cost premium for the alternate is the consequence. R2 contingency allocation ($600k) was sized for this scenario at planning.</w:t>
      </w:r>
    </w:p>
    <w:p>
      <w:pPr>
        <w:pStyle w:val="BodyText"/>
      </w:pPr>
      <w:r>
        <w:rPr>
          <w:b/>
        </w:rPr>
        <w:t xml:space="preserve">Lesson learned (provisional).</w:t>
      </w:r>
      <w:r>
        <w:t xml:space="preserve"> </w:t>
      </w:r>
      <w:r>
        <w:t xml:space="preserve">Vendor financial-health monitoring frequency for sole-source long-lead items should increase from quarterly to monthly during the PO-release window; would have surfaced indicators 4–8 weeks earlier.</w:t>
      </w:r>
    </w:p>
    <w:p>
      <w:pPr>
        <w:pStyle w:val="Heading3"/>
      </w:pPr>
      <w:bookmarkStart w:id="28" w:name="X7de1f3e12f32c5e43ebdac660178d55a84da213"/>
      <w:r>
        <w:t xml:space="preserve">6.2 Civil schedule slip Weeks 22–24 ($0.3M cost, 14 days schedule)</w:t>
      </w:r>
      <w:bookmarkEnd w:id="28"/>
    </w:p>
    <w:p>
      <w:pPr>
        <w:pStyle w:val="FirstParagraph"/>
      </w:pPr>
      <w:r>
        <w:rPr>
          <w:b/>
        </w:rPr>
        <w:t xml:space="preserve">Trigger event.</w:t>
      </w:r>
      <w:r>
        <w:t xml:space="preserve"> </w:t>
      </w:r>
      <w:r>
        <w:t xml:space="preserve">Foundation excavation at the Solar Plot B (40% of array foundations) encountered sub-grade soil conditions softer than the geotechnical investigation indicated. Bearing capacity required additional excavation depth and structural fill in 18 of 80 foundation positions.</w:t>
      </w:r>
    </w:p>
    <w:p>
      <w:pPr>
        <w:pStyle w:val="BodyText"/>
      </w:pPr>
      <w:r>
        <w:rPr>
          <w:b/>
        </w:rPr>
        <w:t xml:space="preserve">Decision sequence.</w:t>
      </w:r>
      <w:r>
        <w:t xml:space="preserve"> </w:t>
      </w:r>
      <w:r>
        <w:t xml:space="preserve">Week 22: civil subcontractor flagged soft soil at first three positions. Week 23: PM ordered extended geotechnical investigation across Plot B; results showed broader subgrade weakness in the north-west quadrant. Week 24: revised foundation design with additional excavation depth approved; subcontractor mobilised additional equipment.</w:t>
      </w:r>
    </w:p>
    <w:p>
      <w:pPr>
        <w:pStyle w:val="BodyText"/>
      </w:pPr>
      <w:r>
        <w:rPr>
          <w:b/>
        </w:rPr>
        <w:t xml:space="preserve">Root cause classification.</w:t>
      </w:r>
      <w:r>
        <w:t xml:space="preserve"> </w:t>
      </w:r>
      <w:r>
        <w:t xml:space="preserve">External — sub-grade geotechnical variance from investigation. Investigation was per Northwood standard for projects of this size; the affected quadrant did not feature in the original sampling grid which was concentrated in higher-risk topographic areas. R5 contingency allocation (local labour) covers part of the cost; the unallocated reserve covers the geotechnical investigation cost ($100k) that was not anticipated in any specific risk.</w:t>
      </w:r>
    </w:p>
    <w:p>
      <w:pPr>
        <w:pStyle w:val="BodyText"/>
      </w:pPr>
      <w:r>
        <w:rPr>
          <w:b/>
        </w:rPr>
        <w:t xml:space="preserve">Lesson learned (provisional).</w:t>
      </w:r>
      <w:r>
        <w:t xml:space="preserve"> </w:t>
      </w:r>
      <w:r>
        <w:t xml:space="preserve">For solar projects on terrain with variable soil profiles, geotechnical investigation grid density should be uniform across the footprint, not concentrated in topographically-high-risk areas. Standard sampling pattern updated.</w:t>
      </w:r>
    </w:p>
    <w:p>
      <w:pPr>
        <w:pStyle w:val="Heading2"/>
      </w:pPr>
      <w:bookmarkStart w:id="29" w:name="recovery-actions"/>
      <w:r>
        <w:t xml:space="preserve">7. Recovery actions</w:t>
      </w:r>
      <w:bookmarkEnd w:id="29"/>
    </w:p>
    <w:p>
      <w:pPr>
        <w:pStyle w:val="FirstParagraph"/>
      </w:pPr>
      <w:r>
        <w:t xml:space="preserve">Four recovery actions are committed for the period Weeks 29–40.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close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Linked variance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Civil subcontractor overtime Weeks 29–32 to recover 14-day foundation slip</w:t>
            </w:r>
          </w:p>
        </w:tc>
        <w:tc>
          <w:p>
            <w:pPr>
              <w:pStyle w:val="Compact"/>
              <w:jc w:val="left"/>
            </w:pPr>
            <w:r>
              <w:t xml:space="preserve">Construction Manager</w:t>
            </w:r>
          </w:p>
        </w:tc>
        <w:tc>
          <w:p>
            <w:pPr>
              <w:pStyle w:val="Compact"/>
              <w:jc w:val="left"/>
            </w:pPr>
            <w:r>
              <w:t xml:space="preserve">Week 32</w:t>
            </w:r>
          </w:p>
        </w:tc>
        <w:tc>
          <w:p>
            <w:pPr>
              <w:pStyle w:val="Compact"/>
              <w:jc w:val="left"/>
            </w:pPr>
            <w:r>
              <w:t xml:space="preserve">§6.2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BESS factory acceptance test in Week 38 with on-site expediter from Week 35</w:t>
            </w:r>
          </w:p>
        </w:tc>
        <w:tc>
          <w:p>
            <w:pPr>
              <w:pStyle w:val="Compact"/>
              <w:jc w:val="left"/>
            </w:pPr>
            <w:r>
              <w:t xml:space="preserve">Procurement Lead</w:t>
            </w:r>
          </w:p>
        </w:tc>
        <w:tc>
          <w:p>
            <w:pPr>
              <w:pStyle w:val="Compact"/>
              <w:jc w:val="left"/>
            </w:pPr>
            <w:r>
              <w:t xml:space="preserve">Week 38</w:t>
            </w:r>
          </w:p>
        </w:tc>
        <w:tc>
          <w:p>
            <w:pPr>
              <w:pStyle w:val="Compact"/>
              <w:jc w:val="left"/>
            </w:pPr>
            <w:r>
              <w:t xml:space="preserve">§6.1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Pre-monsoon work-front loading: complete erosion-control installation by Week 34 to maximise productive monsoon-season days</w:t>
            </w:r>
          </w:p>
        </w:tc>
        <w:tc>
          <w:p>
            <w:pPr>
              <w:pStyle w:val="Compact"/>
              <w:jc w:val="left"/>
            </w:pPr>
            <w:r>
              <w:t xml:space="preserve">Construction Manager</w:t>
            </w:r>
          </w:p>
        </w:tc>
        <w:tc>
          <w:p>
            <w:pPr>
              <w:pStyle w:val="Compact"/>
              <w:jc w:val="left"/>
            </w:pPr>
            <w:r>
              <w:t xml:space="preserve">Week 34</w:t>
            </w:r>
          </w:p>
        </w:tc>
        <w:tc>
          <w:p>
            <w:pPr>
              <w:pStyle w:val="Compact"/>
              <w:jc w:val="left"/>
            </w:pPr>
            <w:r>
              <w:t xml:space="preserve">R4 forward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Increase vendor financial-health monitoring on all remaining long-lead POs from quarterly to monthly through end of construction</w:t>
            </w:r>
          </w:p>
        </w:tc>
        <w:tc>
          <w:p>
            <w:pPr>
              <w:pStyle w:val="Compact"/>
              <w:jc w:val="left"/>
            </w:pPr>
            <w:r>
              <w:t xml:space="preserve">Procurement Lead</w:t>
            </w:r>
          </w:p>
        </w:tc>
        <w:tc>
          <w:p>
            <w:pPr>
              <w:pStyle w:val="Compact"/>
              <w:jc w:val="left"/>
            </w:pPr>
            <w:r>
              <w:t xml:space="preserve">Standing through SC</w:t>
            </w:r>
          </w:p>
        </w:tc>
        <w:tc>
          <w:p>
            <w:pPr>
              <w:pStyle w:val="Compact"/>
              <w:jc w:val="left"/>
            </w:pPr>
            <w:r>
              <w:t xml:space="preserve">§6.1 lesson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</w:tr>
    </w:tbl>
    <w:p>
      <w:pPr>
        <w:pStyle w:val="BodyText"/>
      </w:pPr>
      <w:r>
        <w:rPr>
          <w:b/>
        </w:rPr>
        <w:t xml:space="preserve">Recovery cost projection.</w:t>
      </w:r>
      <w:r>
        <w:t xml:space="preserve"> </w:t>
      </w:r>
      <w:r>
        <w:t xml:space="preserve">Civil subcontractor overtime estimated $80k (within existing branch contingency, not contingency drawdown). Pre-monsoon loading is sequence-only, no incremental cost. Vendor monitoring is process change, no incremental cost. BESS expediter cost ($30k) absorbed in 3.0 Procurement branch.</w:t>
      </w:r>
    </w:p>
    <w:p>
      <w:pPr>
        <w:pStyle w:val="Heading2"/>
      </w:pPr>
      <w:bookmarkStart w:id="30" w:name="X619860b6c9f4339a4efe49fb6c7bc1213e0d09d"/>
      <w:r>
        <w:t xml:space="preserve">8. Outlook to next reporting period (Weeks 29–32)</w:t>
      </w:r>
      <w:bookmarkEnd w:id="30"/>
    </w:p>
    <w:p>
      <w:pPr>
        <w:pStyle w:val="FirstParagraph"/>
      </w:pPr>
      <w:r>
        <w:rPr>
          <w:b/>
        </w:rPr>
        <w:t xml:space="preserve">Expected variance evolution.</w:t>
      </w:r>
      <w:r>
        <w:t xml:space="preserve"> </w:t>
      </w:r>
      <w:r>
        <w:t xml:space="preserve">SPI projected to improve from 0.95 to 0.97 by Week 32 if civil recovery succeeds as planned; CPI projected to stay at 0.97 (no new material variances anticipated). Contingency consumption projected to add $100k against R5 (retention bonus continuation) and $0 against other risks if monsoon delays. Monsoon season begins Week 35; first material R4 exposure window opens Week 36.</w:t>
      </w:r>
    </w:p>
    <w:p>
      <w:pPr>
        <w:pStyle w:val="BodyText"/>
      </w:pPr>
      <w:r>
        <w:rPr>
          <w:b/>
        </w:rPr>
        <w:t xml:space="preserve">Watch items.</w:t>
      </w:r>
      <w:r>
        <w:t xml:space="preserve"> </w:t>
      </w:r>
      <w:r>
        <w:t xml:space="preserve">- Civil overtime delivery (does the 14-day recovery materialise by Week 32?)</w:t>
      </w:r>
      <w:r>
        <w:t xml:space="preserve"> </w:t>
      </w:r>
      <w:r>
        <w:t xml:space="preserve">- BESS vendor-2 performance through FAT (does the PO premium hold or grow?)</w:t>
      </w:r>
      <w:r>
        <w:t xml:space="preserve"> </w:t>
      </w:r>
      <w:r>
        <w:t xml:space="preserve">- Module deliveries continuing on cadence (does the favourable variance persist?)</w:t>
      </w:r>
      <w:r>
        <w:t xml:space="preserve"> </w:t>
      </w:r>
      <w:r>
        <w:t xml:space="preserve">- Erosion-control completion by Week 34 (does the pre-monsoon loading deliver as planned?)</w:t>
      </w:r>
    </w:p>
    <w:p>
      <w:pPr>
        <w:pStyle w:val="BodyText"/>
      </w:pPr>
      <w:r>
        <w:rPr>
          <w:b/>
        </w:rPr>
        <w:t xml:space="preserve">Re-baseline trigger assessment.</w:t>
      </w:r>
      <w:r>
        <w:t xml:space="preserve"> </w:t>
      </w:r>
      <w:r>
        <w:t xml:space="preserve">No current trigger exceeded. The 5.1% margin floor (full contingency consumed) remains uncrossed at projected 8.2%. Single-branch overrun thresholds (BESS at −$0.4M against branch limit −$1.0M; Civil at −$0.3M against branch limit −$0.5M) remain below re-baseline triggers. Total-project overrun at −$0.6M against total threshold −$1.5M (60% contingency consumed) remains below threshold.</w:t>
      </w:r>
    </w:p>
    <w:p>
      <w:pPr>
        <w:pStyle w:val="Heading2"/>
      </w:pPr>
      <w:bookmarkStart w:id="31" w:name="conventions-used"/>
      <w:r>
        <w:t xml:space="preserve">9. Conventions used</w:t>
      </w:r>
      <w:bookmarkEnd w:id="31"/>
    </w:p>
    <w:p>
      <w:pPr>
        <w:pStyle w:val="FirstParagraph"/>
      </w:pPr>
      <w:r>
        <w:t xml:space="preserve">Five patterns this document follows, for traceability against the Northwood worked-example convention: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EVM as the variance backbone.</w:t>
      </w:r>
      <w:r>
        <w:t xml:space="preserve"> </w:t>
      </w:r>
      <w:r>
        <w:t xml:space="preserve">CPI and SPI are the headline metrics; CV and SV are the dollar / day measurements. The metrics inherit their formulas from PMBOK Earned Value Method conventions. Numbers without a unit are absolute dollars or days; ratios are decimal.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Variance reported by WBS Level-2 branch and by critical-path chain.</w:t>
      </w:r>
      <w:r>
        <w:t xml:space="preserve"> </w:t>
      </w:r>
      <w:r>
        <w:t xml:space="preserve">The same variance appears once in each view — once by branch (cost lens) and once by chain (schedule lens). Cross-references between the two views are explicit where they describe the same underlying event.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Root-cause analysis disciplined and evidence-bearing.</w:t>
      </w:r>
      <w:r>
        <w:t xml:space="preserve"> </w:t>
      </w:r>
      <w:r>
        <w:t xml:space="preserve">Root causes are classified (Internal Northwood, External vendor, External client, External regulatory, External natural/site, Methodological). Evidence is cited (vendor monitoring data, geotechnical reports, subcontractor flags). Speculation is flagged with inline italic annotations where the evidence is partial.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Recovery actions named, owned, dated, and cost-projected.</w:t>
      </w:r>
      <w:r>
        <w:t xml:space="preserve"> </w:t>
      </w:r>
      <w:r>
        <w:t xml:space="preserve">Every recovery action has a single owner, a target close date, a linked variance section, and an estimated cost or scope-only classification. Aspirational recovery without commitment is not recorded as an action.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Re-baseline trigger assessment included at every reporting period.</w:t>
      </w:r>
      <w:r>
        <w:t xml:space="preserve"> </w:t>
      </w:r>
      <w:r>
        <w:t xml:space="preserve">Even when no triggers are crossed (as here at Week 28), the assessment is explicit: which thresholds remain how far from triggers. This is the discipline that gives the PM, Director, and Sponsor pre-warning before re-baseline events arrive.</w:t>
      </w:r>
    </w:p>
    <w:p>
      <w:pPr>
        <w:pStyle w:val="Heading2"/>
      </w:pPr>
      <w:bookmarkStart w:id="32" w:name="notes-for-downstream-agents"/>
      <w:r>
        <w:t xml:space="preserve">10. Notes for downstream agents</w:t>
      </w:r>
      <w:bookmarkEnd w:id="3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Status Reporter.</w:t>
      </w:r>
      <w:r>
        <w:t xml:space="preserve"> </w:t>
      </w:r>
      <w:r>
        <w:t xml:space="preserve">The Executive Summary (§2) and the Outlook (§8) feed the monthly client status report. The Cost variance (§4) and Schedule variance (§3) feed the monthly portfolio dashboard. Root-cause analyses (§6) are summarised for the Sponsor brief; full detail is internal-only unless the variance event has been disclosed to the client.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Change Order Reviewer.</w:t>
      </w:r>
      <w:r>
        <w:t xml:space="preserve"> </w:t>
      </w:r>
      <w:r>
        <w:t xml:space="preserve">Variance events with client-driven causation flow into the change-order log. None of the Week 28 variances are client-driven; if a future variance traces to a client-instructed scope or sequence change, the change-order package is the recovery vehicle.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Risk Analyst.</w:t>
      </w:r>
      <w:r>
        <w:t xml:space="preserve"> </w:t>
      </w:r>
      <w:r>
        <w:t xml:space="preserve">Realised risks (R2 BESS, R5 partially) update the risk register status from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Realised / Materialised.</w:t>
      </w:r>
      <w:r>
        <w:t xml:space="preserve">”</w:t>
      </w:r>
      <w:r>
        <w:t xml:space="preserve"> </w:t>
      </w:r>
      <w:r>
        <w:t xml:space="preserve">The risk register’s standalone document should be updated in the same reporting cycle to maintain consistency between the issue log, the variance analysis, and the risk register.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Issue Logger.</w:t>
      </w:r>
      <w:r>
        <w:t xml:space="preserve"> </w:t>
      </w:r>
      <w:r>
        <w:t xml:space="preserve">Variance events that originated as upstream open items (e.g., R2 BESS vendor selection was originally I-002-equivalent on Skyhawk’s Week 0 baseline) close on the issue log with a Linked-variance reference back to this document. The issue log’s closed-state lifecycle entry cites the variance analysis where the operational closure was achieved.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2026-05-23T22:04:25Z</dcterms:created>
  <dcterms:modified xsi:type="dcterms:W3CDTF">2026-05-23T22:04:25Z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