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e549ed40b7d0c8aa82167acd8138601057a792"/>
      <w:r>
        <w:t xml:space="preserve">Project Closeout Report — Skyhawk Solar + Storage Phase 1</w:t>
      </w:r>
      <w:bookmarkEnd w:id="20"/>
    </w:p>
    <w:p>
      <w:pPr>
        <w:pStyle w:val="BlockText"/>
      </w:pPr>
      <w:r>
        <w:rPr>
          <w:b/>
        </w:rPr>
        <w:t xml:space="preserve">Note on this document’s role as a worked example.</w:t>
      </w:r>
      <w:r>
        <w:t xml:space="preserve"> </w:t>
      </w:r>
      <w:r>
        <w:t xml:space="preserve">This is the formal Project Closeout Report for Skyhawk Solar at Substantial Completion (5 June year+1), prepared and issued to the client, the Northwood Sponsor, and the portfolio dashboard. The report is the project’s headline outcome document — the artefact a client signs against, the Sponsor cites at portfolio review, and Operations references during warranty. When the Closeout Reporter agent uses this as a worked example for a new project, two adaptations apply. First, at a Week 0 baseline state, the agent produces the closeout-report</w:t>
      </w:r>
      <w:r>
        <w:t xml:space="preserve"> </w:t>
      </w:r>
      <w:r>
        <w:rPr>
          <w:i/>
        </w:rPr>
        <w:t xml:space="preserve">framework</w:t>
      </w:r>
      <w:r>
        <w:t xml:space="preserve"> </w:t>
      </w:r>
      <w:r>
        <w:t xml:space="preserve">— the section structure, the outcome dimensions to be measured against charter §3 objectives, the audience-disclosure conventions, the risk-closeout-status discipline, the cross-reference points with the lessons-learned synthesis — not an outcome report on events that have not yet occurred. Second, items shown with inline italic annotations — specific numbers settled at SC, named events that occurred during execution, lessons-learned headlines drawn from the synthesis — would carry</w:t>
      </w:r>
      <w:r>
        <w:t xml:space="preserve"> </w:t>
      </w:r>
      <w:r>
        <w:rPr>
          <w:rStyle w:val="VerbatimChar"/>
        </w:rPr>
        <w:t xml:space="preserve">[NEEDS PM REVIEW]</w:t>
      </w:r>
      <w:r>
        <w:t xml:space="preserve"> </w:t>
      </w:r>
      <w:r>
        <w:t xml:space="preserve">flags at draft stage. The closeout state shown here reflects what the Skyhawk PM and Project Director committed at Substantial Completion.</w:t>
      </w:r>
    </w:p>
    <w:p>
      <w:pPr>
        <w:pStyle w:val="Heading2"/>
      </w:pPr>
      <w:bookmarkStart w:id="21" w:name="executive-summary"/>
      <w:r>
        <w:t xml:space="preserve">1. Executive summary</w:t>
      </w:r>
      <w:bookmarkEnd w:id="21"/>
    </w:p>
    <w:p>
      <w:pPr>
        <w:pStyle w:val="FirstParagraph"/>
      </w:pPr>
      <w:r>
        <w:rPr>
          <w:b/>
        </w:rPr>
        <w:t xml:space="preserve">Headline outcome.</w:t>
      </w:r>
      <w:r>
        <w:t xml:space="preserve"> </w:t>
      </w:r>
      <w:r>
        <w:t xml:space="preserve">Skyhawk Solar + Storage Phase 1 achieved Substantial Completion on schedule (5 June year+1, original contractual SC date) with all charter §3 objectives met or substantially met. Closing margin:</w:t>
      </w:r>
      <w:r>
        <w:t xml:space="preserve"> </w:t>
      </w:r>
      <w:r>
        <w:rPr>
          <w:b/>
        </w:rPr>
        <w:t xml:space="preserve">8.6%</w:t>
      </w:r>
      <w:r>
        <w:t xml:space="preserve"> </w:t>
      </w:r>
      <w:r>
        <w:t xml:space="preserve">against bid margin 8.8% — within 0.2 percentage points of target and well above the 5.1% commercially-distressed floor. Zero lost-time injuries across 14 months of construction and 215,000 work-hours. Performance test passed first attempt against both nameplate (200 MW DC PV array) and storage (100 MWh / 4-hour BESS) targets. Grid interconnection energisation achieved 1 May year+1 per charter Objective 3, supporting the client’s commissioning window.</w:t>
      </w:r>
    </w:p>
    <w:p>
      <w:pPr>
        <w:pStyle w:val="BodyText"/>
      </w:pPr>
      <w:r>
        <w:rPr>
          <w:b/>
        </w:rPr>
        <w:t xml:space="preserve">Commercial outcome.</w:t>
      </w:r>
      <w:r>
        <w:t xml:space="preserve"> </w:t>
      </w:r>
      <w:r>
        <w:t xml:space="preserve">Contract value increased through three approved change orders from $68.0M to $69.85M (+$1.85M, +2.7%). Final cost $63.85M against approved budget $62.0M and revised approved budget $63.7M (post-CO). Contingency consumption $2.1M of $2.5M envelope (84%). Margin recovery in the final three months brought closing margin from a 7.3% mid-execution projection (Week 28 variance report) to 8.6% at SC through favourable module-cost variance and disciplined punch-list closeout.</w:t>
      </w:r>
    </w:p>
    <w:p>
      <w:pPr>
        <w:pStyle w:val="BodyText"/>
      </w:pPr>
      <w:r>
        <w:rPr>
          <w:b/>
        </w:rPr>
        <w:t xml:space="preserve">Client relationship.</w:t>
      </w:r>
      <w:r>
        <w:t xml:space="preserve"> </w:t>
      </w:r>
      <w:r>
        <w:t xml:space="preserve">Client relationship intact and strengthened. Skyhawk Renewables LLC has indicated Phase 2 prospect (additional 100 MW PV + 50 MWh BESS at a separate site) for award decision in Q3 next fiscal year; Northwood positioned as preferred bidder. Final client survey rated Northwood at 8.7/10 across the four standard dimensions (delivery, commercial, technical, safety).</w:t>
      </w:r>
    </w:p>
    <w:p>
      <w:pPr>
        <w:pStyle w:val="BodyText"/>
      </w:pPr>
      <w:r>
        <w:rPr>
          <w:b/>
        </w:rPr>
        <w:t xml:space="preserve">Lessons captured.</w:t>
      </w:r>
      <w:r>
        <w:t xml:space="preserve"> </w:t>
      </w:r>
      <w:r>
        <w:t xml:space="preserve">Seven firm-level lessons documented in the companion Lessons Learned Synthesis (</w:t>
      </w:r>
      <w:r>
        <w:rPr>
          <w:rStyle w:val="VerbatimChar"/>
        </w:rPr>
        <w:t xml:space="preserve">01_lessons_learned_skyhawk.md</w:t>
      </w:r>
      <w:r>
        <w:t xml:space="preserve"> </w:t>
      </w:r>
      <w:r>
        <w:t xml:space="preserve">— referenced; not part of this report). Headline lessons quoted in §8.</w:t>
      </w:r>
    </w:p>
    <w:p>
      <w:pPr>
        <w:pStyle w:val="Heading2"/>
      </w:pPr>
      <w:bookmarkStart w:id="22" w:name="project-outcome-by-charter-objective"/>
      <w:r>
        <w:t xml:space="preserve">2. Project outcome by charter objective</w:t>
      </w:r>
      <w:bookmarkEnd w:id="22"/>
    </w:p>
    <w:p>
      <w:pPr>
        <w:pStyle w:val="FirstParagraph"/>
      </w:pPr>
      <w:r>
        <w:t xml:space="preserve">The five objectives committed in charter §3 are reported against actual outcomes. The reporting convention is binary at the objective level (Met / Partially met / Not met) with quantitative detail in supporting metrics.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Charter §3 objective</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Actual</w:t>
            </w:r>
          </w:p>
        </w:tc>
        <w:tc>
          <w:tcPr>
            <w:tcBorders>
              <w:bottom w:val="single"/>
            </w:tcBorders>
            <w:vAlign w:val="bottom"/>
          </w:tcPr>
          <w:p>
            <w:pPr>
              <w:pStyle w:val="Compact"/>
              <w:jc w:val="left"/>
            </w:pPr>
            <w:r>
              <w:t xml:space="preserve">Status</w:t>
            </w:r>
          </w:p>
        </w:tc>
      </w:tr>
      <w:tr>
        <w:tc>
          <w:p>
            <w:pPr>
              <w:pStyle w:val="Compact"/>
              <w:jc w:val="left"/>
            </w:pPr>
            <w:r>
              <w:t xml:space="preserve">1. Deliver 200 MW DC nameplate solar generation, verified through commissioning power test, by 5 June year+1</w:t>
            </w:r>
          </w:p>
        </w:tc>
        <w:tc>
          <w:p>
            <w:pPr>
              <w:pStyle w:val="Compact"/>
              <w:jc w:val="left"/>
            </w:pPr>
            <w:r>
              <w:t xml:space="preserve">200 MW DC by 5 June year+1</w:t>
            </w:r>
          </w:p>
        </w:tc>
        <w:tc>
          <w:p>
            <w:pPr>
              <w:pStyle w:val="Compact"/>
              <w:jc w:val="left"/>
            </w:pPr>
            <w:r>
              <w:t xml:space="preserve">202.3 MW DC measured at performance test (within commissioning tolerance), achieved 5 June year+1</w:t>
            </w:r>
          </w:p>
        </w:tc>
        <w:tc>
          <w:p>
            <w:pPr>
              <w:pStyle w:val="Compact"/>
              <w:jc w:val="left"/>
            </w:pPr>
            <w:r>
              <w:rPr>
                <w:b/>
              </w:rPr>
              <w:t xml:space="preserve">Met</w:t>
            </w:r>
          </w:p>
        </w:tc>
      </w:tr>
      <w:tr>
        <w:tc>
          <w:p>
            <w:pPr>
              <w:pStyle w:val="Compact"/>
              <w:jc w:val="left"/>
            </w:pPr>
            <w:r>
              <w:t xml:space="preserve">2. Deliver 100 MWh BESS with ≥95% round-trip efficiency at commissioning</w:t>
            </w:r>
          </w:p>
        </w:tc>
        <w:tc>
          <w:p>
            <w:pPr>
              <w:pStyle w:val="Compact"/>
              <w:jc w:val="left"/>
            </w:pPr>
            <w:r>
              <w:t xml:space="preserve">≥95% RTE</w:t>
            </w:r>
          </w:p>
        </w:tc>
        <w:tc>
          <w:p>
            <w:pPr>
              <w:pStyle w:val="Compact"/>
              <w:jc w:val="left"/>
            </w:pPr>
            <w:r>
              <w:t xml:space="preserve">95.8% RTE measured</w:t>
            </w:r>
          </w:p>
        </w:tc>
        <w:tc>
          <w:p>
            <w:pPr>
              <w:pStyle w:val="Compact"/>
              <w:jc w:val="left"/>
            </w:pPr>
            <w:r>
              <w:rPr>
                <w:b/>
              </w:rPr>
              <w:t xml:space="preserve">Met</w:t>
            </w:r>
          </w:p>
        </w:tc>
      </w:tr>
      <w:tr>
        <w:tc>
          <w:p>
            <w:pPr>
              <w:pStyle w:val="Compact"/>
              <w:jc w:val="left"/>
            </w:pPr>
            <w:r>
              <w:t xml:space="preserve">3. Achieve grid interconnection energisation by 1 May year+1</w:t>
            </w:r>
          </w:p>
        </w:tc>
        <w:tc>
          <w:p>
            <w:pPr>
              <w:pStyle w:val="Compact"/>
              <w:jc w:val="left"/>
            </w:pPr>
            <w:r>
              <w:t xml:space="preserve">Energisation by 1 May year+1</w:t>
            </w:r>
          </w:p>
        </w:tc>
        <w:tc>
          <w:p>
            <w:pPr>
              <w:pStyle w:val="Compact"/>
              <w:jc w:val="left"/>
            </w:pPr>
            <w:r>
              <w:t xml:space="preserve">Energised 28 April year+1 (3 days ahead)</w:t>
            </w:r>
          </w:p>
        </w:tc>
        <w:tc>
          <w:p>
            <w:pPr>
              <w:pStyle w:val="Compact"/>
              <w:jc w:val="left"/>
            </w:pPr>
            <w:r>
              <w:rPr>
                <w:b/>
              </w:rPr>
              <w:t xml:space="preserve">Met (ahead of target)</w:t>
            </w:r>
          </w:p>
        </w:tc>
      </w:tr>
      <w:tr>
        <w:tc>
          <w:p>
            <w:pPr>
              <w:pStyle w:val="Compact"/>
              <w:jc w:val="left"/>
            </w:pPr>
            <w:r>
              <w:t xml:space="preserve">4. Deliver at or above 8.8% margin with cost variance within ±2% of approved budget</w:t>
            </w:r>
          </w:p>
        </w:tc>
        <w:tc>
          <w:p>
            <w:pPr>
              <w:pStyle w:val="Compact"/>
              <w:jc w:val="left"/>
            </w:pPr>
            <w:r>
              <w:t xml:space="preserve">≥8.8% margin, ±2% cost variance</w:t>
            </w:r>
          </w:p>
        </w:tc>
        <w:tc>
          <w:p>
            <w:pPr>
              <w:pStyle w:val="Compact"/>
              <w:jc w:val="left"/>
            </w:pPr>
            <w:r>
              <w:t xml:space="preserve">8.6% margin, +1.5% cost variance</w:t>
            </w:r>
          </w:p>
        </w:tc>
        <w:tc>
          <w:p>
            <w:pPr>
              <w:pStyle w:val="Compact"/>
              <w:jc w:val="left"/>
            </w:pPr>
            <w:r>
              <w:rPr>
                <w:b/>
              </w:rPr>
              <w:t xml:space="preserve">Partially met</w:t>
            </w:r>
            <w:r>
              <w:t xml:space="preserve"> </w:t>
            </w:r>
            <w:r>
              <w:t xml:space="preserve">(margin 0.2 pp below target; cost variance within ±2%)</w:t>
            </w:r>
          </w:p>
        </w:tc>
      </w:tr>
      <w:tr>
        <w:tc>
          <w:p>
            <w:pPr>
              <w:pStyle w:val="Compact"/>
              <w:jc w:val="left"/>
            </w:pPr>
            <w:r>
              <w:t xml:space="preserve">5. Zero lost-time injuries across construction</w:t>
            </w:r>
          </w:p>
        </w:tc>
        <w:tc>
          <w:p>
            <w:pPr>
              <w:pStyle w:val="Compact"/>
              <w:jc w:val="left"/>
            </w:pPr>
            <w:r>
              <w:t xml:space="preserve">0 LTI</w:t>
            </w:r>
          </w:p>
        </w:tc>
        <w:tc>
          <w:p>
            <w:pPr>
              <w:pStyle w:val="Compact"/>
              <w:jc w:val="left"/>
            </w:pPr>
            <w:r>
              <w:t xml:space="preserve">0 LTI across 215,000 work-hours</w:t>
            </w:r>
          </w:p>
        </w:tc>
        <w:tc>
          <w:p>
            <w:pPr>
              <w:pStyle w:val="Compact"/>
              <w:jc w:val="left"/>
            </w:pPr>
            <w:r>
              <w:rPr>
                <w:b/>
              </w:rPr>
              <w:t xml:space="preserve">Met</w:t>
            </w:r>
          </w:p>
        </w:tc>
      </w:tr>
    </w:tbl>
    <w:p>
      <w:pPr>
        <w:pStyle w:val="BodyText"/>
      </w:pPr>
      <w:r>
        <w:t xml:space="preserve">Four of five objectives met; Objective 4 partially met on the margin dimension, fully met on the cost-variance dimension. The 0.2 percentage-point margin shortfall is documented in §3 with root causes traced to the BESS vendor reselection (charter §8 R2 partial realisation) and the civil sub-grade variance (R5 partial realisation).</w:t>
      </w:r>
    </w:p>
    <w:p>
      <w:pPr>
        <w:pStyle w:val="Heading2"/>
      </w:pPr>
      <w:bookmarkStart w:id="23" w:name="financial-summary"/>
      <w:r>
        <w:t xml:space="preserve">3. Financial summary</w:t>
      </w:r>
      <w:bookmarkEnd w:id="23"/>
    </w:p>
    <w:p>
      <w:pPr>
        <w:pStyle w:val="FirstParagraph"/>
      </w:pPr>
      <w:r>
        <w:rPr>
          <w:b/>
        </w:rPr>
        <w:t xml:space="preserve">Contract and final cost position:</w:t>
      </w:r>
    </w:p>
    <w:tbl>
      <w:tblPr>
        <w:tblStyle w:val="Table"/>
        <w:tblW w:type="pct" w:w="5000.0"/>
        <w:tblLook w:firstRow="1"/>
      </w:tblPr>
      <w:tblGrid>
        <w:gridCol w:w="1250"/>
        <w:gridCol w:w="1667"/>
        <w:gridCol w:w="1667"/>
        <w:gridCol w:w="1667"/>
        <w:gridCol w:w="1667"/>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right"/>
            </w:pPr>
            <w:r>
              <w:t xml:space="preserve">At contract</w:t>
            </w:r>
          </w:p>
        </w:tc>
        <w:tc>
          <w:tcPr>
            <w:tcBorders>
              <w:bottom w:val="single"/>
            </w:tcBorders>
            <w:vAlign w:val="bottom"/>
          </w:tcPr>
          <w:p>
            <w:pPr>
              <w:pStyle w:val="Compact"/>
              <w:jc w:val="right"/>
            </w:pPr>
            <w:r>
              <w:t xml:space="preserve">Approved at SC (post CO-001, CO-002, CO-003)</w:t>
            </w:r>
          </w:p>
        </w:tc>
        <w:tc>
          <w:tcPr>
            <w:tcBorders>
              <w:bottom w:val="single"/>
            </w:tcBorders>
            <w:vAlign w:val="bottom"/>
          </w:tcPr>
          <w:p>
            <w:pPr>
              <w:pStyle w:val="Compact"/>
              <w:jc w:val="right"/>
            </w:pPr>
            <w:r>
              <w:t xml:space="preserve">Actual at SC</w:t>
            </w:r>
          </w:p>
        </w:tc>
        <w:tc>
          <w:tcPr>
            <w:tcBorders>
              <w:bottom w:val="single"/>
            </w:tcBorders>
            <w:vAlign w:val="bottom"/>
          </w:tcPr>
          <w:p>
            <w:pPr>
              <w:pStyle w:val="Compact"/>
              <w:jc w:val="right"/>
            </w:pPr>
            <w:r>
              <w:t xml:space="preserve">Variance</w:t>
            </w:r>
          </w:p>
        </w:tc>
      </w:tr>
      <w:tr>
        <w:tc>
          <w:p>
            <w:pPr>
              <w:pStyle w:val="Compact"/>
              <w:jc w:val="left"/>
            </w:pPr>
            <w:r>
              <w:t xml:space="preserve">Contract value (</w:t>
            </w:r>
            <m:oMath>
              <m:r>
                <m:t>M</m:t>
              </m:r>
              <m:r>
                <m:t>)</m:t>
              </m:r>
              <m:r>
                <m:t>|</m:t>
              </m:r>
              <m:r>
                <m:t>68.00</m:t>
              </m:r>
              <m:r>
                <m:t>|</m:t>
              </m:r>
              <m:r>
                <m:t>69.85</m:t>
              </m:r>
              <m:r>
                <m:t>|</m:t>
              </m:r>
              <m:r>
                <m:t>69.85</m:t>
              </m:r>
              <m:r>
                <m:t>|</m:t>
              </m:r>
              <m:r>
                <m:t>—</m:t>
              </m:r>
              <m:r>
                <m:t>|</m:t>
              </m:r>
              <m:r>
                <m:t>|</m:t>
              </m:r>
              <m:r>
                <m:t>A</m:t>
              </m:r>
              <m:r>
                <m:t>p</m:t>
              </m:r>
              <m:r>
                <m:t>p</m:t>
              </m:r>
              <m:r>
                <m:t>r</m:t>
              </m:r>
              <m:r>
                <m:t>o</m:t>
              </m:r>
              <m:r>
                <m:t>v</m:t>
              </m:r>
              <m:r>
                <m:t>e</m:t>
              </m:r>
              <m:r>
                <m:t>d</m:t>
              </m:r>
              <m:r>
                <m:t>c</m:t>
              </m:r>
              <m:r>
                <m:t>o</m:t>
              </m:r>
              <m:r>
                <m:t>s</m:t>
              </m:r>
              <m:r>
                <m:t>t</m:t>
              </m:r>
              <m:r>
                <m:t>b</m:t>
              </m:r>
              <m:r>
                <m:t>u</m:t>
              </m:r>
              <m:r>
                <m:t>d</m:t>
              </m:r>
              <m:r>
                <m:t>g</m:t>
              </m:r>
              <m:r>
                <m:t>e</m:t>
              </m:r>
              <m:r>
                <m:t>t</m:t>
              </m:r>
              <m:r>
                <m:t>(</m:t>
              </m:r>
            </m:oMath>
            <w:r>
              <w:t xml:space="preserve">M)</w:t>
            </w:r>
          </w:p>
        </w:tc>
        <w:tc>
          <w:p>
            <w:pPr>
              <w:pStyle w:val="Compact"/>
              <w:jc w:val="right"/>
            </w:pPr>
            <w:r>
              <w:t xml:space="preserve">62.00</w:t>
            </w:r>
          </w:p>
        </w:tc>
        <w:tc>
          <w:p>
            <w:pPr>
              <w:pStyle w:val="Compact"/>
              <w:jc w:val="right"/>
            </w:pPr>
            <w:r>
              <w:t xml:space="preserve">63.70</w:t>
            </w:r>
          </w:p>
        </w:tc>
        <w:tc>
          <w:p>
            <w:pPr>
              <w:pStyle w:val="Compact"/>
              <w:jc w:val="right"/>
            </w:pPr>
            <w:r>
              <w:t xml:space="preserve">63.85</w:t>
            </w:r>
          </w:p>
        </w:tc>
        <w:tc>
          <w:p>
            <w:pPr>
              <w:pStyle w:val="Compact"/>
              <w:jc w:val="right"/>
            </w:pPr>
            <w:r>
              <w:t xml:space="preserve">+0.15 (+0.2%)</w:t>
            </w:r>
          </w:p>
        </w:tc>
      </w:tr>
      <w:tr>
        <w:tc>
          <w:p>
            <w:pPr>
              <w:pStyle w:val="Compact"/>
              <w:jc w:val="left"/>
            </w:pPr>
            <w:r>
              <w:t xml:space="preserve">Northwood contingency (</w:t>
            </w:r>
            <m:oMath>
              <m:r>
                <m:t>M</m:t>
              </m:r>
              <m:r>
                <m:t>)</m:t>
              </m:r>
              <m:r>
                <m:t>|</m:t>
              </m:r>
              <m:r>
                <m:t>2.50</m:t>
              </m:r>
              <m:r>
                <m:t>|</m:t>
              </m:r>
              <m:r>
                <m:t>2.50</m:t>
              </m:r>
              <m:r>
                <m:t>|</m:t>
              </m:r>
              <m:r>
                <m:t>0.40</m:t>
              </m:r>
              <m:r>
                <m:t>r</m:t>
              </m:r>
              <m:r>
                <m:t>e</m:t>
              </m:r>
              <m:r>
                <m:t>m</m:t>
              </m:r>
              <m:r>
                <m:t>a</m:t>
              </m:r>
              <m:r>
                <m:t>i</m:t>
              </m:r>
              <m:r>
                <m:t>n</m:t>
              </m:r>
              <m:r>
                <m:t>i</m:t>
              </m:r>
              <m:r>
                <m:t>n</m:t>
              </m:r>
              <m:r>
                <m:t>g</m:t>
              </m:r>
              <m:r>
                <m:t>(</m:t>
              </m:r>
              <m:r>
                <m:t>2.10</m:t>
              </m:r>
              <m:r>
                <m:t>c</m:t>
              </m:r>
              <m:r>
                <m:t>o</m:t>
              </m:r>
              <m:r>
                <m:t>n</m:t>
              </m:r>
              <m:r>
                <m:t>s</m:t>
              </m:r>
              <m:r>
                <m:t>u</m:t>
              </m:r>
              <m:r>
                <m:t>m</m:t>
              </m:r>
              <m:r>
                <m:t>e</m:t>
              </m:r>
              <m:r>
                <m:t>d</m:t>
              </m:r>
              <m:r>
                <m:t>,</m:t>
              </m:r>
              <m:r>
                <m:t>84</m:t>
              </m:r>
            </m:oMath>
            <w:r>
              <w:t xml:space="preserve">M / %)</w:t>
            </w:r>
          </w:p>
        </w:tc>
        <w:tc>
          <w:p>
            <w:pPr>
              <w:pStyle w:val="Compact"/>
              <w:jc w:val="right"/>
            </w:pPr>
            <w:r>
              <w:t xml:space="preserve">6.00 / 8.8%</w:t>
            </w:r>
          </w:p>
        </w:tc>
        <w:tc>
          <w:p>
            <w:pPr>
              <w:pStyle w:val="Compact"/>
              <w:jc w:val="right"/>
            </w:pPr>
            <w:r>
              <w:t xml:space="preserve">6.15 / 8.8%</w:t>
            </w:r>
          </w:p>
        </w:tc>
        <w:tc>
          <w:p>
            <w:pPr>
              <w:pStyle w:val="Compact"/>
              <w:jc w:val="right"/>
            </w:pPr>
            <w:r>
              <w:rPr>
                <w:b/>
              </w:rPr>
              <w:t xml:space="preserve">6.00 / 8.6%</w:t>
            </w:r>
          </w:p>
        </w:tc>
        <w:tc>
          <w:p>
            <w:pPr>
              <w:pStyle w:val="Compact"/>
              <w:jc w:val="right"/>
            </w:pPr>
            <w:r>
              <w:t xml:space="preserve">−0.15 / −0.2 pp</w:t>
            </w:r>
          </w:p>
        </w:tc>
      </w:tr>
      <w:tr>
        <w:tc>
          <w:p>
            <w:pPr>
              <w:pStyle w:val="Compact"/>
              <w:jc w:val="left"/>
            </w:pPr>
            <w:r>
              <w:t xml:space="preserve">LDs assessed</w:t>
            </w:r>
          </w:p>
        </w:tc>
        <w:tc>
          <w:p>
            <w:pPr>
              <w:pStyle w:val="Compact"/>
              <w:jc w:val="right"/>
            </w:pPr>
            <w:r>
              <w:t xml:space="preserve">0</w:t>
            </w:r>
          </w:p>
        </w:tc>
        <w:tc>
          <w:p>
            <w:pPr>
              <w:pStyle w:val="Compact"/>
              <w:jc w:val="right"/>
            </w:pPr>
            <w:r>
              <w:t xml:space="preserve">0</w:t>
            </w:r>
          </w:p>
        </w:tc>
        <w:tc>
          <w:p>
            <w:pPr>
              <w:pStyle w:val="Compact"/>
              <w:jc w:val="right"/>
            </w:pPr>
            <w:r>
              <w:t xml:space="preserve">0</w:t>
            </w:r>
          </w:p>
        </w:tc>
        <w:tc>
          <w:p>
            <w:pPr>
              <w:pStyle w:val="Compact"/>
              <w:jc w:val="right"/>
            </w:pPr>
            <w:r>
              <w:t xml:space="preserve">—</w:t>
            </w:r>
          </w:p>
        </w:tc>
      </w:tr>
      <w:tr>
        <w:tc>
          <w:p>
            <w:pPr>
              <w:pStyle w:val="Compact"/>
              <w:jc w:val="left"/>
            </w:pPr>
            <w:r>
              <w:t xml:space="preserve">Retention held at SC</w:t>
            </w:r>
          </w:p>
        </w:tc>
        <w:tc>
          <w:p>
            <w:pPr>
              <w:pStyle w:val="Compact"/>
              <w:jc w:val="right"/>
            </w:pPr>
            <w:r>
              <w:t xml:space="preserve">—</w:t>
            </w:r>
          </w:p>
        </w:tc>
        <w:tc>
          <w:p>
            <w:pPr>
              <w:pStyle w:val="Compact"/>
              <w:jc w:val="right"/>
            </w:pPr>
            <w:r>
              <w:t xml:space="preserve">—</w:t>
            </w:r>
          </w:p>
        </w:tc>
        <w:tc>
          <w:p>
            <w:pPr>
              <w:pStyle w:val="Compact"/>
              <w:jc w:val="right"/>
            </w:pPr>
            <w:r>
              <w:t xml:space="preserve">$2.61M (3.75%, half released; balance at warranty end)</w:t>
            </w:r>
          </w:p>
        </w:tc>
        <w:tc>
          <w:p>
            <w:pPr>
              <w:pStyle w:val="Compact"/>
              <w:jc w:val="right"/>
            </w:pPr>
            <w:r>
              <w:t xml:space="preserve">—</w:t>
            </w:r>
          </w:p>
        </w:tc>
      </w:tr>
    </w:tbl>
    <w:p>
      <w:pPr>
        <w:pStyle w:val="BodyText"/>
      </w:pPr>
      <w:r>
        <w:rPr>
          <w:b/>
        </w:rPr>
        <w:t xml:space="preserve">Change orders during execution:</w:t>
      </w:r>
    </w:p>
    <w:tbl>
      <w:tblPr>
        <w:tblStyle w:val="Table"/>
        <w:tblW w:type="pct" w:w="4999.999999999999"/>
        <w:tblLook w:firstRow="1"/>
      </w:tblPr>
      <w:tblGrid>
        <w:gridCol w:w="1188"/>
        <w:gridCol w:w="1188"/>
        <w:gridCol w:w="1188"/>
        <w:gridCol w:w="1584"/>
        <w:gridCol w:w="1584"/>
        <w:gridCol w:w="1188"/>
      </w:tblGrid>
      <w:tr>
        <w:trPr>
          <w:cnfStyle w:firstRow="1"/>
        </w:trPr>
        <w:tc>
          <w:tcPr>
            <w:tcBorders>
              <w:bottom w:val="single"/>
            </w:tcBorders>
            <w:vAlign w:val="bottom"/>
          </w:tcPr>
          <w:p>
            <w:pPr>
              <w:pStyle w:val="Compact"/>
              <w:jc w:val="left"/>
            </w:pPr>
            <w:r>
              <w:t xml:space="preserve">CO ID</w:t>
            </w:r>
          </w:p>
        </w:tc>
        <w:tc>
          <w:tcPr>
            <w:tcBorders>
              <w:bottom w:val="single"/>
            </w:tcBorders>
            <w:vAlign w:val="bottom"/>
          </w:tcPr>
          <w:p>
            <w:pPr>
              <w:pStyle w:val="Compact"/>
              <w:jc w:val="left"/>
            </w:pPr>
            <w:r>
              <w:t xml:space="preserve">Driver</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right"/>
            </w:pPr>
            <w:r>
              <w:t xml:space="preserve">Cost impact ($k)</w:t>
            </w:r>
          </w:p>
        </w:tc>
        <w:tc>
          <w:tcPr>
            <w:tcBorders>
              <w:bottom w:val="single"/>
            </w:tcBorders>
            <w:vAlign w:val="bottom"/>
          </w:tcPr>
          <w:p>
            <w:pPr>
              <w:pStyle w:val="Compact"/>
              <w:jc w:val="right"/>
            </w:pPr>
            <w:r>
              <w:t xml:space="preserve">Schedule impact (days)</w:t>
            </w:r>
          </w:p>
        </w:tc>
        <w:tc>
          <w:tcPr>
            <w:tcBorders>
              <w:bottom w:val="single"/>
            </w:tcBorders>
            <w:vAlign w:val="bottom"/>
          </w:tcPr>
          <w:p>
            <w:pPr>
              <w:pStyle w:val="Compact"/>
              <w:jc w:val="left"/>
            </w:pPr>
            <w:r>
              <w:t xml:space="preserve">Approval date</w:t>
            </w:r>
          </w:p>
        </w:tc>
      </w:tr>
      <w:tr>
        <w:tc>
          <w:p>
            <w:pPr>
              <w:pStyle w:val="Compact"/>
              <w:jc w:val="left"/>
            </w:pPr>
            <w:r>
              <w:t xml:space="preserve">CO-001</w:t>
            </w:r>
          </w:p>
        </w:tc>
        <w:tc>
          <w:p>
            <w:pPr>
              <w:pStyle w:val="Compact"/>
              <w:jc w:val="left"/>
            </w:pPr>
            <w:r>
              <w:t xml:space="preserve">Scope clarification</w:t>
            </w:r>
          </w:p>
        </w:tc>
        <w:tc>
          <w:p>
            <w:pPr>
              <w:pStyle w:val="Compact"/>
              <w:jc w:val="left"/>
            </w:pPr>
            <w:r>
              <w:t xml:space="preserve">Tertiary filtration scope boundary with client’s separate retrofit</w:t>
            </w:r>
          </w:p>
        </w:tc>
        <w:tc>
          <w:p>
            <w:pPr>
              <w:pStyle w:val="Compact"/>
              <w:jc w:val="right"/>
            </w:pPr>
            <w:r>
              <w:t xml:space="preserve">0</w:t>
            </w:r>
          </w:p>
        </w:tc>
        <w:tc>
          <w:p>
            <w:pPr>
              <w:pStyle w:val="Compact"/>
              <w:jc w:val="right"/>
            </w:pPr>
            <w:r>
              <w:t xml:space="preserve">0</w:t>
            </w:r>
          </w:p>
        </w:tc>
        <w:tc>
          <w:p>
            <w:pPr>
              <w:pStyle w:val="Compact"/>
              <w:jc w:val="left"/>
            </w:pPr>
            <w:r>
              <w:t xml:space="preserve">Week 24</w:t>
            </w:r>
          </w:p>
        </w:tc>
      </w:tr>
      <w:tr>
        <w:tc>
          <w:p>
            <w:pPr>
              <w:pStyle w:val="Compact"/>
              <w:jc w:val="left"/>
            </w:pPr>
            <w:r>
              <w:t xml:space="preserve">CO-002</w:t>
            </w:r>
          </w:p>
        </w:tc>
        <w:tc>
          <w:p>
            <w:pPr>
              <w:pStyle w:val="Compact"/>
              <w:jc w:val="left"/>
            </w:pPr>
            <w:r>
              <w:t xml:space="preserve">Northwood-driven</w:t>
            </w:r>
          </w:p>
        </w:tc>
        <w:tc>
          <w:p>
            <w:pPr>
              <w:pStyle w:val="Compact"/>
              <w:jc w:val="left"/>
            </w:pPr>
            <w:r>
              <w:t xml:space="preserve">BESS vendor reselection commercial premium absorbed via T&amp;M variation</w:t>
            </w:r>
          </w:p>
        </w:tc>
        <w:tc>
          <w:p>
            <w:pPr>
              <w:pStyle w:val="Compact"/>
              <w:jc w:val="right"/>
            </w:pPr>
            <w:r>
              <w:t xml:space="preserve">+400</w:t>
            </w:r>
          </w:p>
        </w:tc>
        <w:tc>
          <w:p>
            <w:pPr>
              <w:pStyle w:val="Compact"/>
              <w:jc w:val="right"/>
            </w:pPr>
            <w:r>
              <w:t xml:space="preserve">+14</w:t>
            </w:r>
          </w:p>
        </w:tc>
        <w:tc>
          <w:p>
            <w:pPr>
              <w:pStyle w:val="Compact"/>
              <w:jc w:val="left"/>
            </w:pPr>
            <w:r>
              <w:t xml:space="preserve">Week 18</w:t>
            </w:r>
          </w:p>
        </w:tc>
      </w:tr>
      <w:tr>
        <w:tc>
          <w:p>
            <w:pPr>
              <w:pStyle w:val="Compact"/>
              <w:jc w:val="left"/>
            </w:pPr>
            <w:r>
              <w:t xml:space="preserve">CO-003</w:t>
            </w:r>
          </w:p>
        </w:tc>
        <w:tc>
          <w:p>
            <w:pPr>
              <w:pStyle w:val="Compact"/>
              <w:jc w:val="left"/>
            </w:pPr>
            <w:r>
              <w:t xml:space="preserve">Client-driven</w:t>
            </w:r>
          </w:p>
        </w:tc>
        <w:tc>
          <w:p>
            <w:pPr>
              <w:pStyle w:val="Compact"/>
              <w:jc w:val="left"/>
            </w:pPr>
            <w:r>
              <w:t xml:space="preserve">Additional SCADA integration with client’s portfolio reporting platform</w:t>
            </w:r>
          </w:p>
        </w:tc>
        <w:tc>
          <w:p>
            <w:pPr>
              <w:pStyle w:val="Compact"/>
              <w:jc w:val="right"/>
            </w:pPr>
            <w:r>
              <w:t xml:space="preserve">+1,850</w:t>
            </w:r>
          </w:p>
        </w:tc>
        <w:tc>
          <w:p>
            <w:pPr>
              <w:pStyle w:val="Compact"/>
              <w:jc w:val="right"/>
            </w:pPr>
            <w:r>
              <w:t xml:space="preserve">0</w:t>
            </w:r>
          </w:p>
        </w:tc>
        <w:tc>
          <w:p>
            <w:pPr>
              <w:pStyle w:val="Compact"/>
              <w:jc w:val="left"/>
            </w:pPr>
            <w:r>
              <w:t xml:space="preserve">Week 36</w:t>
            </w:r>
          </w:p>
        </w:tc>
      </w:tr>
      <w:tr>
        <w:tc>
          <w:p>
            <w:pPr>
              <w:pStyle w:val="Compact"/>
              <w:jc w:val="left"/>
            </w:pPr>
            <w:r>
              <w:rPr>
                <w:b/>
              </w:rPr>
              <w:t xml:space="preserve">Total</w:t>
            </w:r>
          </w:p>
        </w:tc>
        <w:tc>
          <w:p/>
        </w:tc>
        <w:tc>
          <w:p/>
        </w:tc>
        <w:tc>
          <w:p>
            <w:pPr>
              <w:pStyle w:val="Compact"/>
              <w:jc w:val="right"/>
            </w:pPr>
            <w:r>
              <w:rPr>
                <w:b/>
              </w:rPr>
              <w:t xml:space="preserve">+2,250</w:t>
            </w:r>
          </w:p>
        </w:tc>
        <w:tc>
          <w:p>
            <w:pPr>
              <w:pStyle w:val="Compact"/>
              <w:jc w:val="right"/>
            </w:pPr>
            <w:r>
              <w:rPr>
                <w:b/>
              </w:rPr>
              <w:t xml:space="preserve">+14</w:t>
            </w:r>
          </w:p>
        </w:tc>
        <w:tc>
          <w:p/>
        </w:tc>
      </w:tr>
    </w:tbl>
    <w:p>
      <w:pPr>
        <w:pStyle w:val="BodyText"/>
      </w:pPr>
      <w:r>
        <w:t xml:space="preserve">CO-003 ($1.85M) shifted the contract value but not the schedule. CO-002 ($0.4M Northwood-driven) absorbed the BESS vendor reselection commercial premium per the Week 18 variance event. CO-001 was zero-cost scope clarification.</w:t>
      </w:r>
    </w:p>
    <w:p>
      <w:pPr>
        <w:pStyle w:val="BodyText"/>
      </w:pPr>
      <w:r>
        <w:rPr>
          <w:b/>
        </w:rPr>
        <w:t xml:space="preserve">Contingency consumption against R1–R5 allocation: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Risk allocation</w:t>
            </w:r>
          </w:p>
        </w:tc>
        <w:tc>
          <w:tcPr>
            <w:tcBorders>
              <w:bottom w:val="single"/>
            </w:tcBorders>
            <w:vAlign w:val="bottom"/>
          </w:tcPr>
          <w:p>
            <w:pPr>
              <w:pStyle w:val="Compact"/>
              <w:jc w:val="right"/>
            </w:pPr>
            <w:r>
              <w:t xml:space="preserve">Allocated (</w:t>
            </w:r>
            <m:oMath>
              <m:r>
                <m:t>k</m:t>
              </m:r>
              <m:r>
                <m:t>)</m:t>
              </m:r>
              <m:r>
                <m:t>|</m:t>
              </m:r>
              <m:r>
                <m:t>C</m:t>
              </m:r>
              <m:r>
                <m:t>o</m:t>
              </m:r>
              <m:r>
                <m:t>n</m:t>
              </m:r>
              <m:r>
                <m:t>s</m:t>
              </m:r>
              <m:r>
                <m:t>u</m:t>
              </m:r>
              <m:r>
                <m:t>m</m:t>
              </m:r>
              <m:r>
                <m:t>e</m:t>
              </m:r>
              <m:r>
                <m:t>d</m:t>
              </m:r>
              <m:r>
                <m:t>(</m:t>
              </m:r>
            </m:oMath>
            <w:r>
              <w:t xml:space="preserve">k)</w:t>
            </w:r>
          </w:p>
        </w:tc>
        <w:tc>
          <w:tcPr>
            <w:tcBorders>
              <w:bottom w:val="single"/>
            </w:tcBorders>
            <w:vAlign w:val="bottom"/>
          </w:tcPr>
          <w:p>
            <w:pPr>
              <w:pStyle w:val="Compact"/>
              <w:jc w:val="right"/>
            </w:pPr>
            <w:r>
              <w:t xml:space="preserve">Remaining ($k)</w:t>
            </w:r>
          </w:p>
        </w:tc>
        <w:tc>
          <w:tcPr>
            <w:tcBorders>
              <w:bottom w:val="single"/>
            </w:tcBorders>
            <w:vAlign w:val="bottom"/>
          </w:tcPr>
          <w:p/>
        </w:tc>
      </w:tr>
      <w:tr>
        <w:tc>
          <w:p>
            <w:pPr>
              <w:pStyle w:val="Compact"/>
              <w:jc w:val="left"/>
            </w:pPr>
            <w:r>
              <w:t xml:space="preserve">R1 — Utility interconnection late</w:t>
            </w:r>
          </w:p>
        </w:tc>
        <w:tc>
          <w:p>
            <w:pPr>
              <w:pStyle w:val="Compact"/>
              <w:jc w:val="right"/>
            </w:pPr>
            <w:r>
              <w:t xml:space="preserve">400</w:t>
            </w:r>
          </w:p>
        </w:tc>
        <w:tc>
          <w:p>
            <w:pPr>
              <w:pStyle w:val="Compact"/>
              <w:jc w:val="right"/>
            </w:pPr>
            <w:r>
              <w:t xml:space="preserve">200</w:t>
            </w:r>
          </w:p>
        </w:tc>
        <w:tc>
          <w:p>
            <w:pPr>
              <w:pStyle w:val="Compact"/>
              <w:jc w:val="right"/>
            </w:pPr>
            <w:r>
              <w:t xml:space="preserve">200</w:t>
            </w:r>
          </w:p>
        </w:tc>
      </w:tr>
      <w:tr>
        <w:tc>
          <w:p>
            <w:pPr>
              <w:pStyle w:val="Compact"/>
              <w:jc w:val="left"/>
            </w:pPr>
            <w:r>
              <w:t xml:space="preserve">R2 — BESS supply disruption</w:t>
            </w:r>
          </w:p>
        </w:tc>
        <w:tc>
          <w:p>
            <w:pPr>
              <w:pStyle w:val="Compact"/>
              <w:jc w:val="right"/>
            </w:pPr>
            <w:r>
              <w:t xml:space="preserve">600</w:t>
            </w:r>
          </w:p>
        </w:tc>
        <w:tc>
          <w:p>
            <w:pPr>
              <w:pStyle w:val="Compact"/>
              <w:jc w:val="right"/>
            </w:pPr>
            <w:r>
              <w:t xml:space="preserve">400</w:t>
            </w:r>
          </w:p>
        </w:tc>
        <w:tc>
          <w:p>
            <w:pPr>
              <w:pStyle w:val="Compact"/>
              <w:jc w:val="right"/>
            </w:pPr>
            <w:r>
              <w:t xml:space="preserve">200</w:t>
            </w:r>
          </w:p>
        </w:tc>
      </w:tr>
      <w:tr>
        <w:tc>
          <w:p>
            <w:pPr>
              <w:pStyle w:val="Compact"/>
              <w:jc w:val="left"/>
            </w:pPr>
            <w:r>
              <w:t xml:space="preserve">R3 — Module degradation</w:t>
            </w:r>
          </w:p>
        </w:tc>
        <w:tc>
          <w:p>
            <w:pPr>
              <w:pStyle w:val="Compact"/>
              <w:jc w:val="right"/>
            </w:pPr>
            <w:r>
              <w:t xml:space="preserve">150</w:t>
            </w:r>
          </w:p>
        </w:tc>
        <w:tc>
          <w:p>
            <w:pPr>
              <w:pStyle w:val="Compact"/>
              <w:jc w:val="right"/>
            </w:pPr>
            <w:r>
              <w:t xml:space="preserve">0</w:t>
            </w:r>
          </w:p>
        </w:tc>
        <w:tc>
          <w:p>
            <w:pPr>
              <w:pStyle w:val="Compact"/>
              <w:jc w:val="right"/>
            </w:pPr>
            <w:r>
              <w:t xml:space="preserve">150</w:t>
            </w:r>
          </w:p>
        </w:tc>
      </w:tr>
      <w:tr>
        <w:tc>
          <w:p>
            <w:pPr>
              <w:pStyle w:val="Compact"/>
              <w:jc w:val="left"/>
            </w:pPr>
            <w:r>
              <w:t xml:space="preserve">R4 — Weather / monsoon</w:t>
            </w:r>
          </w:p>
        </w:tc>
        <w:tc>
          <w:p>
            <w:pPr>
              <w:pStyle w:val="Compact"/>
              <w:jc w:val="right"/>
            </w:pPr>
            <w:r>
              <w:t xml:space="preserve">500</w:t>
            </w:r>
          </w:p>
        </w:tc>
        <w:tc>
          <w:p>
            <w:pPr>
              <w:pStyle w:val="Compact"/>
              <w:jc w:val="right"/>
            </w:pPr>
            <w:r>
              <w:t xml:space="preserve">600</w:t>
            </w:r>
          </w:p>
        </w:tc>
        <w:tc>
          <w:p>
            <w:pPr>
              <w:pStyle w:val="Compact"/>
              <w:jc w:val="right"/>
            </w:pPr>
            <w:r>
              <w:t xml:space="preserve">−100 (overrun absorbed by reserve)</w:t>
            </w:r>
          </w:p>
        </w:tc>
      </w:tr>
      <w:tr>
        <w:tc>
          <w:p>
            <w:pPr>
              <w:pStyle w:val="Compact"/>
              <w:jc w:val="left"/>
            </w:pPr>
            <w:r>
              <w:t xml:space="preserve">R5 — Local labour shortage</w:t>
            </w:r>
          </w:p>
        </w:tc>
        <w:tc>
          <w:p>
            <w:pPr>
              <w:pStyle w:val="Compact"/>
              <w:jc w:val="right"/>
            </w:pPr>
            <w:r>
              <w:t xml:space="preserve">350</w:t>
            </w:r>
          </w:p>
        </w:tc>
        <w:tc>
          <w:p>
            <w:pPr>
              <w:pStyle w:val="Compact"/>
              <w:jc w:val="right"/>
            </w:pPr>
            <w:r>
              <w:t xml:space="preserve">400</w:t>
            </w:r>
          </w:p>
        </w:tc>
        <w:tc>
          <w:p>
            <w:pPr>
              <w:pStyle w:val="Compact"/>
              <w:jc w:val="right"/>
            </w:pPr>
            <w:r>
              <w:t xml:space="preserve">−50 (overrun absorbed by reserve)</w:t>
            </w:r>
          </w:p>
        </w:tc>
      </w:tr>
      <w:tr>
        <w:tc>
          <w:p>
            <w:pPr>
              <w:pStyle w:val="Compact"/>
              <w:jc w:val="left"/>
            </w:pPr>
            <w:r>
              <w:t xml:space="preserve">Unallocated reserve</w:t>
            </w:r>
          </w:p>
        </w:tc>
        <w:tc>
          <w:p>
            <w:pPr>
              <w:pStyle w:val="Compact"/>
              <w:jc w:val="right"/>
            </w:pPr>
            <w:r>
              <w:t xml:space="preserve">500</w:t>
            </w:r>
          </w:p>
        </w:tc>
        <w:tc>
          <w:p>
            <w:pPr>
              <w:pStyle w:val="Compact"/>
              <w:jc w:val="right"/>
            </w:pPr>
            <w:r>
              <w:t xml:space="preserve">500</w:t>
            </w:r>
          </w:p>
        </w:tc>
        <w:tc>
          <w:p>
            <w:pPr>
              <w:pStyle w:val="Compact"/>
              <w:jc w:val="right"/>
            </w:pPr>
            <w:r>
              <w:t xml:space="preserve">0</w:t>
            </w:r>
          </w:p>
        </w:tc>
      </w:tr>
      <w:tr>
        <w:tc>
          <w:p>
            <w:pPr>
              <w:pStyle w:val="Compact"/>
              <w:jc w:val="left"/>
            </w:pPr>
            <w:r>
              <w:rPr>
                <w:b/>
              </w:rPr>
              <w:t xml:space="preserve">Total</w:t>
            </w:r>
          </w:p>
        </w:tc>
        <w:tc>
          <w:p>
            <w:pPr>
              <w:pStyle w:val="Compact"/>
              <w:jc w:val="right"/>
            </w:pPr>
            <w:r>
              <w:rPr>
                <w:b/>
              </w:rPr>
              <w:t xml:space="preserve">2,500</w:t>
            </w:r>
          </w:p>
        </w:tc>
        <w:tc>
          <w:p>
            <w:pPr>
              <w:pStyle w:val="Compact"/>
              <w:jc w:val="right"/>
            </w:pPr>
            <w:r>
              <w:rPr>
                <w:b/>
              </w:rPr>
              <w:t xml:space="preserve">2,100</w:t>
            </w:r>
          </w:p>
        </w:tc>
        <w:tc>
          <w:p>
            <w:pPr>
              <w:pStyle w:val="Compact"/>
              <w:jc w:val="right"/>
            </w:pPr>
            <w:r>
              <w:rPr>
                <w:b/>
              </w:rPr>
              <w:t xml:space="preserve">400</w:t>
            </w:r>
          </w:p>
        </w:tc>
      </w:tr>
    </w:tbl>
    <w:p>
      <w:pPr>
        <w:pStyle w:val="BodyText"/>
      </w:pPr>
      <w:r>
        <w:t xml:space="preserve">The contingency overrun on R4 and R5 was absorbed by the unallocated reserve; total contingency stayed within the $2.5M envelope. R3 (module degradation) did not materialise; its $150k allocation remained intact and was the dominant component of the $400k contingency surplus returned at closeout.</w:t>
      </w:r>
    </w:p>
    <w:p>
      <w:pPr>
        <w:pStyle w:val="Heading2"/>
      </w:pPr>
      <w:bookmarkStart w:id="24" w:name="schedule-summary"/>
      <w:r>
        <w:t xml:space="preserve">4. Schedule summary</w:t>
      </w:r>
      <w:bookmarkEnd w:id="24"/>
    </w:p>
    <w:p>
      <w:pPr>
        <w:pStyle w:val="FirstParagraph"/>
      </w:pPr>
      <w:r>
        <w:rPr>
          <w:b/>
        </w:rPr>
        <w:t xml:space="preserve">Milestone performance against charter §6:</w:t>
      </w:r>
    </w:p>
    <w:tbl>
      <w:tblPr>
        <w:tblStyle w:val="Table"/>
        <w:tblW w:type="pct" w:w="5000.0"/>
        <w:tblLook w:firstRow="1"/>
      </w:tblPr>
      <w:tblGrid>
        <w:gridCol w:w="1827"/>
        <w:gridCol w:w="1827"/>
        <w:gridCol w:w="1827"/>
        <w:gridCol w:w="2436"/>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Target date</w:t>
            </w:r>
          </w:p>
        </w:tc>
        <w:tc>
          <w:tcPr>
            <w:tcBorders>
              <w:bottom w:val="single"/>
            </w:tcBorders>
            <w:vAlign w:val="bottom"/>
          </w:tcPr>
          <w:p>
            <w:pPr>
              <w:pStyle w:val="Compact"/>
              <w:jc w:val="left"/>
            </w:pPr>
            <w:r>
              <w:t xml:space="preserve">Actual date</w:t>
            </w:r>
          </w:p>
        </w:tc>
        <w:tc>
          <w:tcPr>
            <w:tcBorders>
              <w:bottom w:val="single"/>
            </w:tcBorders>
            <w:vAlign w:val="bottom"/>
          </w:tcPr>
          <w:p>
            <w:pPr>
              <w:pStyle w:val="Compact"/>
              <w:jc w:val="right"/>
            </w:pPr>
            <w:r>
              <w:t xml:space="preserve">Variance (days)</w:t>
            </w:r>
          </w:p>
        </w:tc>
      </w:tr>
      <w:tr>
        <w:tc>
          <w:p>
            <w:pPr>
              <w:pStyle w:val="Compact"/>
              <w:jc w:val="left"/>
            </w:pPr>
            <w:r>
              <w:t xml:space="preserve">Detailed Engineering 60% review</w:t>
            </w:r>
          </w:p>
        </w:tc>
        <w:tc>
          <w:p>
            <w:pPr>
              <w:pStyle w:val="Compact"/>
              <w:jc w:val="left"/>
            </w:pPr>
            <w:r>
              <w:t xml:space="preserve">30 August</w:t>
            </w:r>
          </w:p>
        </w:tc>
        <w:tc>
          <w:p>
            <w:pPr>
              <w:pStyle w:val="Compact"/>
              <w:jc w:val="left"/>
            </w:pPr>
            <w:r>
              <w:t xml:space="preserve">30 August</w:t>
            </w:r>
          </w:p>
        </w:tc>
        <w:tc>
          <w:p>
            <w:pPr>
              <w:pStyle w:val="Compact"/>
              <w:jc w:val="right"/>
            </w:pPr>
            <w:r>
              <w:t xml:space="preserve">0</w:t>
            </w:r>
          </w:p>
        </w:tc>
      </w:tr>
      <w:tr>
        <w:tc>
          <w:p>
            <w:pPr>
              <w:pStyle w:val="Compact"/>
              <w:jc w:val="left"/>
            </w:pPr>
            <w:r>
              <w:t xml:space="preserve">Long-lead POs released (modules, inverters, BESS)</w:t>
            </w:r>
          </w:p>
        </w:tc>
        <w:tc>
          <w:p>
            <w:pPr>
              <w:pStyle w:val="Compact"/>
              <w:jc w:val="left"/>
            </w:pPr>
            <w:r>
              <w:t xml:space="preserve">15 August</w:t>
            </w:r>
          </w:p>
        </w:tc>
        <w:tc>
          <w:p>
            <w:pPr>
              <w:pStyle w:val="Compact"/>
              <w:jc w:val="left"/>
            </w:pPr>
            <w:r>
              <w:t xml:space="preserve">18 August (BESS slipped to Week 18; modules and inverters on time)</w:t>
            </w:r>
          </w:p>
        </w:tc>
        <w:tc>
          <w:p>
            <w:pPr>
              <w:pStyle w:val="Compact"/>
              <w:jc w:val="right"/>
            </w:pPr>
            <w:r>
              <w:t xml:space="preserve">+3</w:t>
            </w:r>
          </w:p>
        </w:tc>
      </w:tr>
      <w:tr>
        <w:tc>
          <w:p>
            <w:pPr>
              <w:pStyle w:val="Compact"/>
              <w:jc w:val="left"/>
            </w:pPr>
            <w:r>
              <w:t xml:space="preserve">Mobilisation</w:t>
            </w:r>
          </w:p>
        </w:tc>
        <w:tc>
          <w:p>
            <w:pPr>
              <w:pStyle w:val="Compact"/>
              <w:jc w:val="left"/>
            </w:pPr>
            <w:r>
              <w:t xml:space="preserve">1 October</w:t>
            </w:r>
          </w:p>
        </w:tc>
        <w:tc>
          <w:p>
            <w:pPr>
              <w:pStyle w:val="Compact"/>
              <w:jc w:val="left"/>
            </w:pPr>
            <w:r>
              <w:t xml:space="preserve">1 October</w:t>
            </w:r>
          </w:p>
        </w:tc>
        <w:tc>
          <w:p>
            <w:pPr>
              <w:pStyle w:val="Compact"/>
              <w:jc w:val="right"/>
            </w:pPr>
            <w:r>
              <w:t xml:space="preserve">0</w:t>
            </w:r>
          </w:p>
        </w:tc>
      </w:tr>
      <w:tr>
        <w:tc>
          <w:p>
            <w:pPr>
              <w:pStyle w:val="Compact"/>
              <w:jc w:val="left"/>
            </w:pPr>
            <w:r>
              <w:t xml:space="preserve">Mechanical Completion — PV array</w:t>
            </w:r>
          </w:p>
        </w:tc>
        <w:tc>
          <w:p>
            <w:pPr>
              <w:pStyle w:val="Compact"/>
              <w:jc w:val="left"/>
            </w:pPr>
            <w:r>
              <w:t xml:space="preserve">15 March year+1</w:t>
            </w:r>
          </w:p>
        </w:tc>
        <w:tc>
          <w:p>
            <w:pPr>
              <w:pStyle w:val="Compact"/>
              <w:jc w:val="left"/>
            </w:pPr>
            <w:r>
              <w:t xml:space="preserve">19 March year+1</w:t>
            </w:r>
          </w:p>
        </w:tc>
        <w:tc>
          <w:p>
            <w:pPr>
              <w:pStyle w:val="Compact"/>
              <w:jc w:val="right"/>
            </w:pPr>
            <w:r>
              <w:t xml:space="preserve">+4</w:t>
            </w:r>
          </w:p>
        </w:tc>
      </w:tr>
      <w:tr>
        <w:tc>
          <w:p>
            <w:pPr>
              <w:pStyle w:val="Compact"/>
              <w:jc w:val="left"/>
            </w:pPr>
            <w:r>
              <w:t xml:space="preserve">BESS commissioned</w:t>
            </w:r>
          </w:p>
        </w:tc>
        <w:tc>
          <w:p>
            <w:pPr>
              <w:pStyle w:val="Compact"/>
              <w:jc w:val="left"/>
            </w:pPr>
            <w:r>
              <w:t xml:space="preserve">30 April year+1</w:t>
            </w:r>
          </w:p>
        </w:tc>
        <w:tc>
          <w:p>
            <w:pPr>
              <w:pStyle w:val="Compact"/>
              <w:jc w:val="left"/>
            </w:pPr>
            <w:r>
              <w:t xml:space="preserve">30 April year+1</w:t>
            </w:r>
          </w:p>
        </w:tc>
        <w:tc>
          <w:p>
            <w:pPr>
              <w:pStyle w:val="Compact"/>
              <w:jc w:val="right"/>
            </w:pPr>
            <w:r>
              <w:t xml:space="preserve">0</w:t>
            </w:r>
          </w:p>
        </w:tc>
      </w:tr>
      <w:tr>
        <w:tc>
          <w:p>
            <w:pPr>
              <w:pStyle w:val="Compact"/>
              <w:jc w:val="left"/>
            </w:pPr>
            <w:r>
              <w:t xml:space="preserve">Grid interconnection energisation</w:t>
            </w:r>
          </w:p>
        </w:tc>
        <w:tc>
          <w:p>
            <w:pPr>
              <w:pStyle w:val="Compact"/>
              <w:jc w:val="left"/>
            </w:pPr>
            <w:r>
              <w:t xml:space="preserve">1 May year+1</w:t>
            </w:r>
          </w:p>
        </w:tc>
        <w:tc>
          <w:p>
            <w:pPr>
              <w:pStyle w:val="Compact"/>
              <w:jc w:val="left"/>
            </w:pPr>
            <w:r>
              <w:t xml:space="preserve">28 April year+1</w:t>
            </w:r>
          </w:p>
        </w:tc>
        <w:tc>
          <w:p>
            <w:pPr>
              <w:pStyle w:val="Compact"/>
              <w:jc w:val="right"/>
            </w:pPr>
            <w:r>
              <w:t xml:space="preserve">−3 (ahead)</w:t>
            </w:r>
          </w:p>
        </w:tc>
      </w:tr>
      <w:tr>
        <w:tc>
          <w:p>
            <w:pPr>
              <w:pStyle w:val="Compact"/>
              <w:jc w:val="left"/>
            </w:pPr>
            <w:r>
              <w:t xml:space="preserve">Substantial Completion</w:t>
            </w:r>
          </w:p>
        </w:tc>
        <w:tc>
          <w:p>
            <w:pPr>
              <w:pStyle w:val="Compact"/>
              <w:jc w:val="left"/>
            </w:pPr>
            <w:r>
              <w:t xml:space="preserve">5 June year+1</w:t>
            </w:r>
          </w:p>
        </w:tc>
        <w:tc>
          <w:p>
            <w:pPr>
              <w:pStyle w:val="Compact"/>
              <w:jc w:val="left"/>
            </w:pPr>
            <w:r>
              <w:t xml:space="preserve">5 June year+1</w:t>
            </w:r>
          </w:p>
        </w:tc>
        <w:tc>
          <w:p>
            <w:pPr>
              <w:pStyle w:val="Compact"/>
              <w:jc w:val="right"/>
            </w:pPr>
            <w:r>
              <w:rPr>
                <w:b/>
              </w:rPr>
              <w:t xml:space="preserve">0</w:t>
            </w:r>
          </w:p>
        </w:tc>
      </w:tr>
    </w:tbl>
    <w:p>
      <w:pPr>
        <w:pStyle w:val="BodyText"/>
      </w:pPr>
      <w:r>
        <w:t xml:space="preserve">SC achieved on contractual date despite Week 18 BESS PO slip (+3 days) and Week 22-24 civil sub-grade slip (+14 days, recovered via subcontractor overtime per Week 28 variance report §7). The Week 36 monsoon-season productivity loss was absorbed by the pre-monsoon work-front loading committed in the Week 28 recovery actions.</w:t>
      </w:r>
    </w:p>
    <w:p>
      <w:pPr>
        <w:pStyle w:val="BodyText"/>
      </w:pPr>
      <w:r>
        <w:rPr>
          <w:b/>
        </w:rPr>
        <w:t xml:space="preserve">Schedule contingency consumption.</w:t>
      </w:r>
      <w:r>
        <w:t xml:space="preserve"> </w:t>
      </w:r>
      <w:r>
        <w:t xml:space="preserve">Of the 8-week P80 schedule contingency held against the P50 baseline, 4 weeks were consumed (2 weeks BESS vendor reselection, 2 weeks civil sub-grade and recovery). 4 weeks of schedule contingency returned at closeout.</w:t>
      </w:r>
    </w:p>
    <w:p>
      <w:pPr>
        <w:pStyle w:val="BodyText"/>
      </w:pPr>
      <w:r>
        <w:rPr>
          <w:b/>
        </w:rPr>
        <w:t xml:space="preserve">Critical-path narrative.</w:t>
      </w:r>
      <w:r>
        <w:t xml:space="preserve"> </w:t>
      </w:r>
      <w:r>
        <w:t xml:space="preserve">Chain B blower delivery did not materialise as the binding constraint thanks to early PO release and FAT discipline. The civil sub-grade variance materialised partially as a critical-path constraint but was fully recovered within float. Monsoon season productivity loss materialised at the lower end of the projected range. The actual critical path at closeout ran Award → 60% Engineering → BESS commissioning → grid synchronisation → performance test → SC.</w:t>
      </w:r>
    </w:p>
    <w:p>
      <w:pPr>
        <w:pStyle w:val="Heading2"/>
      </w:pPr>
      <w:bookmarkStart w:id="25" w:name="safety-and-hse-summary"/>
      <w:r>
        <w:t xml:space="preserve">5. Safety and HSE summary</w:t>
      </w:r>
      <w:bookmarkEnd w:id="25"/>
    </w:p>
    <w:p>
      <w:pPr>
        <w:numPr>
          <w:ilvl w:val="0"/>
          <w:numId w:val="1001"/>
        </w:numPr>
        <w:pStyle w:val="Compact"/>
      </w:pPr>
      <w:r>
        <w:rPr>
          <w:b/>
        </w:rPr>
        <w:t xml:space="preserve">Lost-time injuries:</w:t>
      </w:r>
      <w:r>
        <w:t xml:space="preserve"> </w:t>
      </w:r>
      <w:r>
        <w:t xml:space="preserve">0 (against Objective 5 target of 0).</w:t>
      </w:r>
    </w:p>
    <w:p>
      <w:pPr>
        <w:numPr>
          <w:ilvl w:val="0"/>
          <w:numId w:val="1001"/>
        </w:numPr>
        <w:pStyle w:val="Compact"/>
      </w:pPr>
      <w:r>
        <w:rPr>
          <w:b/>
        </w:rPr>
        <w:t xml:space="preserve">Recordable injuries:</w:t>
      </w:r>
      <w:r>
        <w:t xml:space="preserve"> </w:t>
      </w:r>
      <w:r>
        <w:t xml:space="preserve">2 (one first-aid wrist sprain, one minor cut requiring stitches; neither resulted in lost work time).</w:t>
      </w:r>
    </w:p>
    <w:p>
      <w:pPr>
        <w:numPr>
          <w:ilvl w:val="0"/>
          <w:numId w:val="1001"/>
        </w:numPr>
        <w:pStyle w:val="Compact"/>
      </w:pPr>
      <w:r>
        <w:rPr>
          <w:b/>
        </w:rPr>
        <w:t xml:space="preserve">Near-misses reported:</w:t>
      </w:r>
      <w:r>
        <w:t xml:space="preserve"> </w:t>
      </w:r>
      <w:r>
        <w:t xml:space="preserve">47 across the project; standard rate for a project of this scale.</w:t>
      </w:r>
    </w:p>
    <w:p>
      <w:pPr>
        <w:numPr>
          <w:ilvl w:val="0"/>
          <w:numId w:val="1001"/>
        </w:numPr>
        <w:pStyle w:val="Compact"/>
      </w:pPr>
      <w:r>
        <w:rPr>
          <w:b/>
        </w:rPr>
        <w:t xml:space="preserve">Total work-hours:</w:t>
      </w:r>
      <w:r>
        <w:t xml:space="preserve"> </w:t>
      </w:r>
      <w:r>
        <w:t xml:space="preserve">215,000 (Northwood + subcontractor).</w:t>
      </w:r>
    </w:p>
    <w:p>
      <w:pPr>
        <w:numPr>
          <w:ilvl w:val="0"/>
          <w:numId w:val="1001"/>
        </w:numPr>
        <w:pStyle w:val="Compact"/>
      </w:pPr>
      <w:r>
        <w:rPr>
          <w:b/>
        </w:rPr>
        <w:t xml:space="preserve">TRIR (Total Recordable Injury Rate):</w:t>
      </w:r>
      <w:r>
        <w:t xml:space="preserve"> </w:t>
      </w:r>
      <w:r>
        <w:t xml:space="preserve">1.86 per 200,000 hours — within Northwood’s renewables-portfolio average band of 1.5–2.5.</w:t>
      </w:r>
    </w:p>
    <w:p>
      <w:pPr>
        <w:numPr>
          <w:ilvl w:val="0"/>
          <w:numId w:val="1001"/>
        </w:numPr>
        <w:pStyle w:val="Compact"/>
      </w:pPr>
      <w:r>
        <w:rPr>
          <w:b/>
        </w:rPr>
        <w:t xml:space="preserve">OSHA notifications:</w:t>
      </w:r>
      <w:r>
        <w:t xml:space="preserve"> </w:t>
      </w:r>
      <w:r>
        <w:t xml:space="preserve">0 (no events meeting OSHA notification threshold).</w:t>
      </w:r>
    </w:p>
    <w:p>
      <w:pPr>
        <w:numPr>
          <w:ilvl w:val="0"/>
          <w:numId w:val="1001"/>
        </w:numPr>
        <w:pStyle w:val="Compact"/>
      </w:pPr>
      <w:r>
        <w:rPr>
          <w:b/>
        </w:rPr>
        <w:t xml:space="preserve">Site safety stand-downs:</w:t>
      </w:r>
      <w:r>
        <w:t xml:space="preserve"> </w:t>
      </w:r>
      <w:r>
        <w:t xml:space="preserve">3 (two scheduled per Northwood standard, one triggered by a near-miss on tracker installation — corrective actions implemented).</w:t>
      </w:r>
    </w:p>
    <w:p>
      <w:pPr>
        <w:numPr>
          <w:ilvl w:val="0"/>
          <w:numId w:val="1001"/>
        </w:numPr>
        <w:pStyle w:val="Compact"/>
      </w:pPr>
      <w:r>
        <w:rPr>
          <w:b/>
        </w:rPr>
        <w:t xml:space="preserve">Subcontractor safety performance:</w:t>
      </w:r>
      <w:r>
        <w:t xml:space="preserve"> </w:t>
      </w:r>
      <w:r>
        <w:t xml:space="preserve">all four major subcontractors (civil, mechanical, electrical, tracker installation) within Northwood’s qualification thresholds at closeout.</w:t>
      </w:r>
    </w:p>
    <w:p>
      <w:pPr>
        <w:pStyle w:val="Heading2"/>
      </w:pPr>
      <w:bookmarkStart w:id="26" w:name="quality-and-performance-summary"/>
      <w:r>
        <w:t xml:space="preserve">6. Quality and performance summary</w:t>
      </w:r>
      <w:bookmarkEnd w:id="26"/>
    </w:p>
    <w:p>
      <w:pPr>
        <w:pStyle w:val="FirstParagraph"/>
      </w:pPr>
      <w:r>
        <w:rPr>
          <w:b/>
        </w:rPr>
        <w:t xml:space="preserve">Performance test outcomes.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Actual</w:t>
            </w:r>
          </w:p>
        </w:tc>
        <w:tc>
          <w:tcPr>
            <w:tcBorders>
              <w:bottom w:val="single"/>
            </w:tcBorders>
            <w:vAlign w:val="bottom"/>
          </w:tcPr>
          <w:p>
            <w:pPr>
              <w:pStyle w:val="Compact"/>
              <w:jc w:val="left"/>
            </w:pPr>
            <w:r>
              <w:t xml:space="preserve">Status</w:t>
            </w:r>
          </w:p>
        </w:tc>
      </w:tr>
      <w:tr>
        <w:tc>
          <w:p>
            <w:pPr>
              <w:pStyle w:val="Compact"/>
              <w:jc w:val="left"/>
            </w:pPr>
            <w:r>
              <w:t xml:space="preserve">PV array nameplate power test (200 MW DC)</w:t>
            </w:r>
          </w:p>
        </w:tc>
        <w:tc>
          <w:p>
            <w:pPr>
              <w:pStyle w:val="Compact"/>
              <w:jc w:val="left"/>
            </w:pPr>
            <w:r>
              <w:t xml:space="preserve">200 MW DC ±5%</w:t>
            </w:r>
          </w:p>
        </w:tc>
        <w:tc>
          <w:p>
            <w:pPr>
              <w:pStyle w:val="Compact"/>
              <w:jc w:val="left"/>
            </w:pPr>
            <w:r>
              <w:t xml:space="preserve">202.3 MW DC</w:t>
            </w:r>
          </w:p>
        </w:tc>
        <w:tc>
          <w:p>
            <w:pPr>
              <w:pStyle w:val="Compact"/>
              <w:jc w:val="left"/>
            </w:pPr>
            <w:r>
              <w:t xml:space="preserve">Pass</w:t>
            </w:r>
          </w:p>
        </w:tc>
      </w:tr>
      <w:tr>
        <w:tc>
          <w:p>
            <w:pPr>
              <w:pStyle w:val="Compact"/>
              <w:jc w:val="left"/>
            </w:pPr>
            <w:r>
              <w:t xml:space="preserve">PV array power-curve verification</w:t>
            </w:r>
          </w:p>
        </w:tc>
        <w:tc>
          <w:p>
            <w:pPr>
              <w:pStyle w:val="Compact"/>
              <w:jc w:val="left"/>
            </w:pPr>
            <w:r>
              <w:t xml:space="preserve">OEM-specified curve ±3%</w:t>
            </w:r>
          </w:p>
        </w:tc>
        <w:tc>
          <w:p>
            <w:pPr>
              <w:pStyle w:val="Compact"/>
              <w:jc w:val="left"/>
            </w:pPr>
            <w:r>
              <w:t xml:space="preserve">Within ±2%</w:t>
            </w:r>
          </w:p>
        </w:tc>
        <w:tc>
          <w:p>
            <w:pPr>
              <w:pStyle w:val="Compact"/>
              <w:jc w:val="left"/>
            </w:pPr>
            <w:r>
              <w:t xml:space="preserve">Pass</w:t>
            </w:r>
          </w:p>
        </w:tc>
      </w:tr>
      <w:tr>
        <w:tc>
          <w:p>
            <w:pPr>
              <w:pStyle w:val="Compact"/>
              <w:jc w:val="left"/>
            </w:pPr>
            <w:r>
              <w:t xml:space="preserve">BESS round-trip efficiency</w:t>
            </w:r>
          </w:p>
        </w:tc>
        <w:tc>
          <w:p>
            <w:pPr>
              <w:pStyle w:val="Compact"/>
              <w:jc w:val="left"/>
            </w:pPr>
            <w:r>
              <w:t xml:space="preserve">≥95%</w:t>
            </w:r>
          </w:p>
        </w:tc>
        <w:tc>
          <w:p>
            <w:pPr>
              <w:pStyle w:val="Compact"/>
              <w:jc w:val="left"/>
            </w:pPr>
            <w:r>
              <w:t xml:space="preserve">95.8%</w:t>
            </w:r>
          </w:p>
        </w:tc>
        <w:tc>
          <w:p>
            <w:pPr>
              <w:pStyle w:val="Compact"/>
              <w:jc w:val="left"/>
            </w:pPr>
            <w:r>
              <w:t xml:space="preserve">Pass</w:t>
            </w:r>
          </w:p>
        </w:tc>
      </w:tr>
      <w:tr>
        <w:tc>
          <w:p>
            <w:pPr>
              <w:pStyle w:val="Compact"/>
              <w:jc w:val="left"/>
            </w:pPr>
            <w:r>
              <w:t xml:space="preserve">BESS 4-hour discharge cycle</w:t>
            </w:r>
          </w:p>
        </w:tc>
        <w:tc>
          <w:p>
            <w:pPr>
              <w:pStyle w:val="Compact"/>
              <w:jc w:val="left"/>
            </w:pPr>
            <w:r>
              <w:t xml:space="preserve">100 MWh delivered</w:t>
            </w:r>
          </w:p>
        </w:tc>
        <w:tc>
          <w:p>
            <w:pPr>
              <w:pStyle w:val="Compact"/>
              <w:jc w:val="left"/>
            </w:pPr>
            <w:r>
              <w:t xml:space="preserve">100.7 MWh</w:t>
            </w:r>
          </w:p>
        </w:tc>
        <w:tc>
          <w:p>
            <w:pPr>
              <w:pStyle w:val="Compact"/>
              <w:jc w:val="left"/>
            </w:pPr>
            <w:r>
              <w:t xml:space="preserve">Pass</w:t>
            </w:r>
          </w:p>
        </w:tc>
      </w:tr>
      <w:tr>
        <w:tc>
          <w:p>
            <w:pPr>
              <w:pStyle w:val="Compact"/>
              <w:jc w:val="left"/>
            </w:pPr>
            <w:r>
              <w:t xml:space="preserve">Grid interconnection protection coordination</w:t>
            </w:r>
          </w:p>
        </w:tc>
        <w:tc>
          <w:p>
            <w:pPr>
              <w:pStyle w:val="Compact"/>
              <w:jc w:val="left"/>
            </w:pPr>
            <w:r>
              <w:t xml:space="preserve">Per utility specification</w:t>
            </w:r>
          </w:p>
        </w:tc>
        <w:tc>
          <w:p>
            <w:pPr>
              <w:pStyle w:val="Compact"/>
              <w:jc w:val="left"/>
            </w:pPr>
            <w:r>
              <w:t xml:space="preserve">Per spec, signed off by utility</w:t>
            </w:r>
          </w:p>
        </w:tc>
        <w:tc>
          <w:p>
            <w:pPr>
              <w:pStyle w:val="Compact"/>
              <w:jc w:val="left"/>
            </w:pPr>
            <w:r>
              <w:t xml:space="preserve">Pass</w:t>
            </w:r>
          </w:p>
        </w:tc>
      </w:tr>
    </w:tbl>
    <w:p>
      <w:pPr>
        <w:pStyle w:val="BodyText"/>
      </w:pPr>
      <w:r>
        <w:t xml:space="preserve">All performance tests passed first attempt. No restarts, no rework cycles.</w:t>
      </w:r>
    </w:p>
    <w:p>
      <w:pPr>
        <w:pStyle w:val="BodyText"/>
      </w:pPr>
      <w:r>
        <w:rPr>
          <w:b/>
        </w:rPr>
        <w:t xml:space="preserve">Punch list closure.</w:t>
      </w:r>
      <w:r>
        <w:t xml:space="preserve"> </w:t>
      </w:r>
      <w:r>
        <w:t xml:space="preserve">31 punch items identified at Mechanical Completion (5 May year+1). 28 closed within 14 days of MC; 3 closed within 30 days. All closed before Substantial Completion. No items deferred to warranty.</w:t>
      </w:r>
    </w:p>
    <w:p>
      <w:pPr>
        <w:pStyle w:val="BodyText"/>
      </w:pPr>
      <w:r>
        <w:rPr>
          <w:b/>
        </w:rPr>
        <w:t xml:space="preserve">Warranty starts.</w:t>
      </w:r>
      <w:r>
        <w:t xml:space="preserve"> </w:t>
      </w:r>
      <w:r>
        <w:t xml:space="preserve">24-month warranty on Northwood scope; warranty period commenced at Substantial Completion (5 June year+1). 18-month residual warranty on BESS vendor scope (vendor warranty extended to align with Northwood warranty close).</w:t>
      </w:r>
    </w:p>
    <w:p>
      <w:pPr>
        <w:pStyle w:val="Heading2"/>
      </w:pPr>
      <w:bookmarkStart w:id="27" w:name="risk-register-closeout-status"/>
      <w:r>
        <w:t xml:space="preserve">7. Risk register closeout status</w:t>
      </w:r>
      <w:bookmarkEnd w:id="27"/>
    </w:p>
    <w:p>
      <w:pPr>
        <w:pStyle w:val="FirstParagraph"/>
      </w:pPr>
      <w:r>
        <w:t xml:space="preserve">Each charter §8 risk has a closeout status. The format is consistent with the closeout convention: realised (the risk event occurred during execution), mitigated (the risk was actively managed and did not realise), or not materialised (the risk did not appear despite being live).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 (charter §8)</w:t>
            </w:r>
          </w:p>
        </w:tc>
        <w:tc>
          <w:tcPr>
            <w:tcBorders>
              <w:bottom w:val="single"/>
            </w:tcBorders>
            <w:vAlign w:val="bottom"/>
          </w:tcPr>
          <w:p>
            <w:pPr>
              <w:pStyle w:val="Compact"/>
              <w:jc w:val="left"/>
            </w:pPr>
            <w:r>
              <w:t xml:space="preserve">Closeout status</w:t>
            </w:r>
          </w:p>
        </w:tc>
        <w:tc>
          <w:tcPr>
            <w:tcBorders>
              <w:bottom w:val="single"/>
            </w:tcBorders>
            <w:vAlign w:val="bottom"/>
          </w:tcPr>
          <w:p>
            <w:pPr>
              <w:pStyle w:val="Compact"/>
              <w:jc w:val="left"/>
            </w:pPr>
            <w:r>
              <w:t xml:space="preserve">Evidence</w:t>
            </w:r>
          </w:p>
        </w:tc>
      </w:tr>
      <w:tr>
        <w:tc>
          <w:p>
            <w:pPr>
              <w:pStyle w:val="Compact"/>
              <w:jc w:val="left"/>
            </w:pPr>
            <w:r>
              <w:t xml:space="preserve">R1 — Utility interconnection studies delivered late, delaying energisation</w:t>
            </w:r>
          </w:p>
        </w:tc>
        <w:tc>
          <w:p>
            <w:pPr>
              <w:pStyle w:val="Compact"/>
              <w:jc w:val="left"/>
            </w:pPr>
            <w:r>
              <w:rPr>
                <w:b/>
              </w:rPr>
              <w:t xml:space="preserve">Partially realised</w:t>
            </w:r>
          </w:p>
        </w:tc>
        <w:tc>
          <w:p>
            <w:pPr>
              <w:pStyle w:val="Compact"/>
              <w:jc w:val="left"/>
            </w:pPr>
            <w:r>
              <w:t xml:space="preserve">Interconnection study delivered 2 weeks late but expediter intervention recovered the schedule; energisation achieved 3 days ahead of target. $200k contingency consumed.</w:t>
            </w:r>
          </w:p>
        </w:tc>
      </w:tr>
      <w:tr>
        <w:tc>
          <w:p>
            <w:pPr>
              <w:pStyle w:val="Compact"/>
              <w:jc w:val="left"/>
            </w:pPr>
            <w:r>
              <w:t xml:space="preserve">R2 — BESS supply-chain disruption</w:t>
            </w:r>
          </w:p>
        </w:tc>
        <w:tc>
          <w:p>
            <w:pPr>
              <w:pStyle w:val="Compact"/>
              <w:jc w:val="left"/>
            </w:pPr>
            <w:r>
              <w:rPr>
                <w:b/>
              </w:rPr>
              <w:t xml:space="preserve">Realised</w:t>
            </w:r>
          </w:p>
        </w:tc>
        <w:tc>
          <w:p>
            <w:pPr>
              <w:pStyle w:val="Compact"/>
              <w:jc w:val="left"/>
            </w:pPr>
            <w:r>
              <w:t xml:space="preserve">Original BESS vendor financial-health deterioration in Q3 of execution triggered vendor reselection (Week 18). $400k contingency consumed via CO-002. Schedule recovered within float.</w:t>
            </w:r>
          </w:p>
        </w:tc>
      </w:tr>
      <w:tr>
        <w:tc>
          <w:p>
            <w:pPr>
              <w:pStyle w:val="Compact"/>
              <w:jc w:val="left"/>
            </w:pPr>
            <w:r>
              <w:t xml:space="preserve">R3 — Module degradation higher than design assumption</w:t>
            </w:r>
          </w:p>
        </w:tc>
        <w:tc>
          <w:p>
            <w:pPr>
              <w:pStyle w:val="Compact"/>
              <w:jc w:val="left"/>
            </w:pPr>
            <w:r>
              <w:rPr>
                <w:b/>
              </w:rPr>
              <w:t xml:space="preserve">Not materialised</w:t>
            </w:r>
          </w:p>
        </w:tc>
        <w:tc>
          <w:p>
            <w:pPr>
              <w:pStyle w:val="Compact"/>
              <w:jc w:val="left"/>
            </w:pPr>
            <w:r>
              <w:t xml:space="preserve">Modules performed within design at commissioning and through warranty year. $150k contingency unused.</w:t>
            </w:r>
          </w:p>
        </w:tc>
      </w:tr>
      <w:tr>
        <w:tc>
          <w:p>
            <w:pPr>
              <w:pStyle w:val="Compact"/>
              <w:jc w:val="left"/>
            </w:pPr>
            <w:r>
              <w:t xml:space="preserve">R4 — Weather events during construction (monsoon season)</w:t>
            </w:r>
          </w:p>
        </w:tc>
        <w:tc>
          <w:p>
            <w:pPr>
              <w:pStyle w:val="Compact"/>
              <w:jc w:val="left"/>
            </w:pPr>
            <w:r>
              <w:rPr>
                <w:b/>
              </w:rPr>
              <w:t xml:space="preserve">Realised</w:t>
            </w:r>
          </w:p>
        </w:tc>
        <w:tc>
          <w:p>
            <w:pPr>
              <w:pStyle w:val="Compact"/>
              <w:jc w:val="left"/>
            </w:pPr>
            <w:r>
              <w:t xml:space="preserve">Monsoon season productivity loss materialised at the lower end of the projected range. $600k contingency consumed against $500k allocation; $100k overrun absorbed by unallocated reserve.</w:t>
            </w:r>
          </w:p>
        </w:tc>
      </w:tr>
      <w:tr>
        <w:tc>
          <w:p>
            <w:pPr>
              <w:pStyle w:val="Compact"/>
              <w:jc w:val="left"/>
            </w:pPr>
            <w:r>
              <w:t xml:space="preserve">R5 — Local labour shortage (regional construction boom)</w:t>
            </w:r>
          </w:p>
        </w:tc>
        <w:tc>
          <w:p>
            <w:pPr>
              <w:pStyle w:val="Compact"/>
              <w:jc w:val="left"/>
            </w:pPr>
            <w:r>
              <w:rPr>
                <w:b/>
              </w:rPr>
              <w:t xml:space="preserve">Realised</w:t>
            </w:r>
          </w:p>
        </w:tc>
        <w:tc>
          <w:p>
            <w:pPr>
              <w:pStyle w:val="Compact"/>
              <w:jc w:val="left"/>
            </w:pPr>
            <w:r>
              <w:t xml:space="preserve">Labour-availability constraint contributed to the Week 22-24 civil slip and to retention-bonus drawdown across the construction phase. $400k contingency consumed against $350k allocation; $50k overrun absorbed by reserve.</w:t>
            </w:r>
          </w:p>
        </w:tc>
      </w:tr>
    </w:tbl>
    <w:p>
      <w:pPr>
        <w:pStyle w:val="BodyText"/>
      </w:pPr>
      <w:r>
        <w:t xml:space="preserve">Three of five risks realised at varying severity; two did not (R3, plus the favourable side of R1 where the schedule was recovered ahead of target).</w:t>
      </w:r>
    </w:p>
    <w:p>
      <w:pPr>
        <w:pStyle w:val="Heading2"/>
      </w:pPr>
      <w:bookmarkStart w:id="28" w:name="X07eed054a74358286dc0eadf401c0212da21891"/>
      <w:r>
        <w:t xml:space="preserve">8. Lessons learned — headlines from companion synthesis</w:t>
      </w:r>
      <w:bookmarkEnd w:id="28"/>
    </w:p>
    <w:p>
      <w:pPr>
        <w:pStyle w:val="FirstParagraph"/>
      </w:pPr>
      <w:r>
        <w:t xml:space="preserve">The full Lessons Learned Synthesis (companion document) contains seven firm-level recommendations and three project-specific lessons. The five headline lessons quoted here are the ones expected to influence Northwood standard practice and follow-on renewables-plus-storage projects.</w:t>
      </w:r>
    </w:p>
    <w:p>
      <w:pPr>
        <w:numPr>
          <w:ilvl w:val="0"/>
          <w:numId w:val="1002"/>
        </w:numPr>
      </w:pPr>
      <w:r>
        <w:rPr>
          <w:b/>
        </w:rPr>
        <w:t xml:space="preserve">Vendor financial-health monitoring on sole-source long-lead procurement should be monthly, not quarterly, during the PO-release window.</w:t>
      </w:r>
      <w:r>
        <w:t xml:space="preserve"> </w:t>
      </w:r>
      <w:r>
        <w:t xml:space="preserve">Evidence: BESS vendor financial deterioration was detected at Q3 monitoring window in time to reselect at Week 18; a monthly cadence would have surfaced indicators 4–8 weeks earlier and potentially avoided the $400k premium.</w:t>
      </w:r>
    </w:p>
    <w:p>
      <w:pPr>
        <w:numPr>
          <w:ilvl w:val="0"/>
          <w:numId w:val="1002"/>
        </w:numPr>
      </w:pPr>
      <w:r>
        <w:rPr>
          <w:b/>
        </w:rPr>
        <w:t xml:space="preserve">Geotechnical investigation grid density on solar projects with variable soil profiles should be uniform across the footprint, not topographically-prioritised.</w:t>
      </w:r>
      <w:r>
        <w:t xml:space="preserve"> </w:t>
      </w:r>
      <w:r>
        <w:t xml:space="preserve">Evidence: Week 22-24 civil sub-grade variance in an unsampled north-west quadrant of Plot B. Updated Northwood standard for variable-terrain solar projects.</w:t>
      </w:r>
    </w:p>
    <w:p>
      <w:pPr>
        <w:numPr>
          <w:ilvl w:val="0"/>
          <w:numId w:val="1002"/>
        </w:numPr>
      </w:pPr>
      <w:r>
        <w:rPr>
          <w:b/>
        </w:rPr>
        <w:t xml:space="preserve">Pre-monsoon work-front loading discipline is operationally validated as a mitigation for tropical-climate solar construction.</w:t>
      </w:r>
      <w:r>
        <w:t xml:space="preserve"> </w:t>
      </w:r>
      <w:r>
        <w:t xml:space="preserve">Evidence: The pre-monsoon erosion-control completion by Week 34 (per the Week 28 variance recovery action) absorbed the monsoon productivity loss within the lower end of the projected range. The discipline should be a standard mitigation in tropical-climate renewables proposals.</w:t>
      </w:r>
    </w:p>
    <w:p>
      <w:pPr>
        <w:numPr>
          <w:ilvl w:val="0"/>
          <w:numId w:val="1002"/>
        </w:numPr>
      </w:pPr>
      <w:r>
        <w:rPr>
          <w:b/>
        </w:rPr>
        <w:t xml:space="preserve">T&amp;M variation mechanism for BESS vendor commercial events worked as designed.</w:t>
      </w:r>
      <w:r>
        <w:t xml:space="preserve"> </w:t>
      </w:r>
      <w:r>
        <w:t xml:space="preserve">Evidence: CO-002 ($400k Northwood-driven absorption) was processed in 9 days from vendor financial-health flag to client co-signature. The variation language from the Skyhawk contract is now Northwood standard for BESS procurement.</w:t>
      </w:r>
    </w:p>
    <w:p>
      <w:pPr>
        <w:numPr>
          <w:ilvl w:val="0"/>
          <w:numId w:val="1002"/>
        </w:numPr>
      </w:pPr>
      <w:r>
        <w:rPr>
          <w:b/>
        </w:rPr>
        <w:t xml:space="preserve">Client-relationship value can legitimately justify margin compression on mid-construction client-driven scope additions, but the rationale must be explicit and pre-approved.</w:t>
      </w:r>
      <w:r>
        <w:t xml:space="preserve"> </w:t>
      </w:r>
      <w:r>
        <w:t xml:space="preserve">Evidence: CO-003 ($1.85M client-driven SCADA integration) was accepted at 7.0% margin against bid 8.8% with Phase 2 prospect cited in the four-frame pricing rationale. The Phase 2 prospect has subsequently materialised as a Q3-next-fiscal-year award decision; the strategic value is being realised. The discipline of making the strategic input explicit at change-order analysis (not implicit) is the lesson.</w:t>
      </w:r>
    </w:p>
    <w:p>
      <w:pPr>
        <w:pStyle w:val="Heading2"/>
      </w:pPr>
      <w:bookmarkStart w:id="29" w:name="X7b02730b9c37e77768026cb024fe73ae077d2c5"/>
      <w:r>
        <w:t xml:space="preserve">9. Recommendations for follow-on and handover</w:t>
      </w:r>
      <w:bookmarkEnd w:id="29"/>
    </w:p>
    <w:p>
      <w:pPr>
        <w:pStyle w:val="FirstParagraph"/>
      </w:pPr>
      <w:r>
        <w:rPr>
          <w:b/>
        </w:rPr>
        <w:t xml:space="preserve">Operations handover items:</w:t>
      </w:r>
    </w:p>
    <w:p>
      <w:pPr>
        <w:numPr>
          <w:ilvl w:val="0"/>
          <w:numId w:val="1003"/>
        </w:numPr>
        <w:pStyle w:val="Compact"/>
      </w:pPr>
      <w:r>
        <w:t xml:space="preserve">24-month warranty period commenced 5 June year+1; warranty admin owner is Northwood Operations (J. Tanaka assigned).</w:t>
      </w:r>
    </w:p>
    <w:p>
      <w:pPr>
        <w:numPr>
          <w:ilvl w:val="0"/>
          <w:numId w:val="1003"/>
        </w:numPr>
        <w:pStyle w:val="Compact"/>
      </w:pPr>
      <w:r>
        <w:t xml:space="preserve">Spare parts inventory transferred to client at SC; replenishment per warranty terms.</w:t>
      </w:r>
    </w:p>
    <w:p>
      <w:pPr>
        <w:numPr>
          <w:ilvl w:val="0"/>
          <w:numId w:val="1003"/>
        </w:numPr>
        <w:pStyle w:val="Compact"/>
      </w:pPr>
      <w:r>
        <w:t xml:space="preserve">Operator training delivered (28 operators trained); follow-on refresher scheduled at 6-month mark.</w:t>
      </w:r>
    </w:p>
    <w:p>
      <w:pPr>
        <w:numPr>
          <w:ilvl w:val="0"/>
          <w:numId w:val="1003"/>
        </w:numPr>
        <w:pStyle w:val="Compact"/>
      </w:pPr>
      <w:r>
        <w:t xml:space="preserve">As-built documentation handover complete; redline-to-final on three drawings closed at Week +2.</w:t>
      </w:r>
    </w:p>
    <w:p>
      <w:pPr>
        <w:pStyle w:val="FirstParagraph"/>
      </w:pPr>
      <w:r>
        <w:rPr>
          <w:b/>
        </w:rPr>
        <w:t xml:space="preserve">Phase 2 prospect — Skyhawk Renewables LLC:</w:t>
      </w:r>
    </w:p>
    <w:p>
      <w:pPr>
        <w:numPr>
          <w:ilvl w:val="0"/>
          <w:numId w:val="1004"/>
        </w:numPr>
        <w:pStyle w:val="Compact"/>
      </w:pPr>
      <w:r>
        <w:t xml:space="preserve">Phase 2 prospect (100 MW PV + 50 MWh BESS at a separate site) award decision Q3 next fiscal year.</w:t>
      </w:r>
    </w:p>
    <w:p>
      <w:pPr>
        <w:numPr>
          <w:ilvl w:val="0"/>
          <w:numId w:val="1004"/>
        </w:numPr>
        <w:pStyle w:val="Compact"/>
      </w:pPr>
      <w:r>
        <w:t xml:space="preserve">Northwood positioned as preferred bidder per client signal at Substantial Completion ceremony.</w:t>
      </w:r>
    </w:p>
    <w:p>
      <w:pPr>
        <w:numPr>
          <w:ilvl w:val="0"/>
          <w:numId w:val="1004"/>
        </w:numPr>
        <w:pStyle w:val="Compact"/>
      </w:pPr>
      <w:r>
        <w:t xml:space="preserve">Account Management to maintain quarterly client touch through warranty year per the Ironvale lesson.</w:t>
      </w:r>
    </w:p>
    <w:p>
      <w:pPr>
        <w:pStyle w:val="FirstParagraph"/>
      </w:pPr>
      <w:r>
        <w:rPr>
          <w:b/>
        </w:rPr>
        <w:t xml:space="preserve">Portfolio-level transfer items:</w:t>
      </w:r>
    </w:p>
    <w:p>
      <w:pPr>
        <w:numPr>
          <w:ilvl w:val="0"/>
          <w:numId w:val="1005"/>
        </w:numPr>
        <w:pStyle w:val="Compact"/>
      </w:pPr>
      <w:r>
        <w:t xml:space="preserve">The four headline lessons in §8 (vendor monitoring cadence, geotechnical density, pre-monsoon loading, T&amp;M variation language) feed the post-closeout Northwood standard updates documented in the companion Lessons Learned Synthesis.</w:t>
      </w:r>
    </w:p>
    <w:p>
      <w:pPr>
        <w:numPr>
          <w:ilvl w:val="0"/>
          <w:numId w:val="1005"/>
        </w:numPr>
        <w:pStyle w:val="Compact"/>
      </w:pPr>
      <w:r>
        <w:t xml:space="preserve">The fifth lesson (strategic value justifying margin compression) is a Commercial Standards governance update requiring CFO concurrence.</w:t>
      </w:r>
    </w:p>
    <w:p>
      <w:pPr>
        <w:pStyle w:val="FirstParagraph"/>
      </w:pPr>
      <w:r>
        <w:rPr>
          <w:b/>
        </w:rPr>
        <w:t xml:space="preserve">Documentation archive:</w:t>
      </w:r>
    </w:p>
    <w:p>
      <w:pPr>
        <w:numPr>
          <w:ilvl w:val="0"/>
          <w:numId w:val="1006"/>
        </w:numPr>
        <w:pStyle w:val="Compact"/>
      </w:pPr>
      <w:r>
        <w:t xml:space="preserve">All project artefacts archived to Northwood project archive under NW-REN-2207. Archive index lists 47 documents from charter through warranty handover.</w:t>
      </w:r>
    </w:p>
    <w:p>
      <w:pPr>
        <w:numPr>
          <w:ilvl w:val="0"/>
          <w:numId w:val="1006"/>
        </w:numPr>
        <w:pStyle w:val="Compact"/>
      </w:pPr>
      <w:r>
        <w:t xml:space="preserve">This closeout report and the Lessons Learned Synthesis are the canonical Phase-1 references; the Variance Analysis sequence (Week 4 through SC) provides the execution-state evidence base.</w:t>
      </w:r>
    </w:p>
    <w:p>
      <w:pPr>
        <w:pStyle w:val="Heading2"/>
      </w:pPr>
      <w:bookmarkStart w:id="30" w:name="conventions-used"/>
      <w:r>
        <w:t xml:space="preserve">10. Conventions used</w:t>
      </w:r>
      <w:bookmarkEnd w:id="30"/>
    </w:p>
    <w:p>
      <w:pPr>
        <w:pStyle w:val="FirstParagraph"/>
      </w:pPr>
      <w:r>
        <w:t xml:space="preserve">Five patterns this document follows, for traceability against the Northwood worked-example convention:</w:t>
      </w:r>
    </w:p>
    <w:p>
      <w:pPr>
        <w:numPr>
          <w:ilvl w:val="0"/>
          <w:numId w:val="1007"/>
        </w:numPr>
      </w:pPr>
      <w:r>
        <w:rPr>
          <w:b/>
        </w:rPr>
        <w:t xml:space="preserve">Objective-by-objective binary status with quantitative supporting metrics.</w:t>
      </w:r>
      <w:r>
        <w:t xml:space="preserve"> </w:t>
      </w:r>
      <w:r>
        <w:t xml:space="preserve">Charter §3 objectives are the report’s spine; each gets a Met / Partially met / Not met status plus the underlying numbers. A closeout report that buries the objective performance in narrative fails its primary audience (client and Sponsor). The binary status format is the discipline that surfaces outcome at headline level.</w:t>
      </w:r>
    </w:p>
    <w:p>
      <w:pPr>
        <w:numPr>
          <w:ilvl w:val="0"/>
          <w:numId w:val="1007"/>
        </w:numPr>
      </w:pPr>
      <w:r>
        <w:rPr>
          <w:b/>
        </w:rPr>
        <w:t xml:space="preserve">Risk register closeout status with three categories.</w:t>
      </w:r>
      <w:r>
        <w:t xml:space="preserve"> </w:t>
      </w:r>
      <w:r>
        <w:t xml:space="preserve">Realised / mitigated / not materialised, with cited evidence (contingency consumption, variance section, change-order ID). The three-category framing prevents the</w:t>
      </w:r>
      <w:r>
        <w:t xml:space="preserve"> </w:t>
      </w:r>
      <w:r>
        <w:t xml:space="preserve">“</w:t>
      </w:r>
      <w:r>
        <w:t xml:space="preserve">all risks managed successfully</w:t>
      </w:r>
      <w:r>
        <w:t xml:space="preserve">”</w:t>
      </w:r>
      <w:r>
        <w:t xml:space="preserve"> </w:t>
      </w:r>
      <w:r>
        <w:t xml:space="preserve">closeout summary that obscures which risks actually appeared and which did not.</w:t>
      </w:r>
    </w:p>
    <w:p>
      <w:pPr>
        <w:numPr>
          <w:ilvl w:val="0"/>
          <w:numId w:val="1007"/>
        </w:numPr>
      </w:pPr>
      <w:r>
        <w:rPr>
          <w:b/>
        </w:rPr>
        <w:t xml:space="preserve">Audience-aware disclosure discipline.</w:t>
      </w:r>
      <w:r>
        <w:t xml:space="preserve"> </w:t>
      </w:r>
      <w:r>
        <w:t xml:space="preserve">The Executive Summary is the client-and-Sponsor-facing headline; the Financial Summary (§3) is full-detail for the Sponsor and portfolio dashboard (no branch-level detail to client beyond what is contractually required); the Lessons Learned section (§8) quotes only headlines from the synthesis (full synthesis is internal-only unless client-facing lessons are pre-approved).</w:t>
      </w:r>
    </w:p>
    <w:p>
      <w:pPr>
        <w:numPr>
          <w:ilvl w:val="0"/>
          <w:numId w:val="1007"/>
        </w:numPr>
      </w:pPr>
      <w:r>
        <w:rPr>
          <w:b/>
        </w:rPr>
        <w:t xml:space="preserve">Lessons-learned cross-reference, not lessons-learned duplication.</w:t>
      </w:r>
      <w:r>
        <w:t xml:space="preserve"> </w:t>
      </w:r>
      <w:r>
        <w:t xml:space="preserve">The closeout report quotes headline lessons (§8); the companion Lessons Learned Synthesis carries the full synthesis with evidence and firm-level recommendations. Closeout reports that try to be the lessons-learned document fail at both jobs.</w:t>
      </w:r>
    </w:p>
    <w:p>
      <w:pPr>
        <w:numPr>
          <w:ilvl w:val="0"/>
          <w:numId w:val="1007"/>
        </w:numPr>
      </w:pPr>
      <w:r>
        <w:rPr>
          <w:b/>
        </w:rPr>
        <w:t xml:space="preserve">Follow-on and handover items separated from outcome items.</w:t>
      </w:r>
      <w:r>
        <w:t xml:space="preserve"> </w:t>
      </w:r>
      <w:r>
        <w:t xml:space="preserve">§9 collects operational handover, client-relationship continuation, portfolio transfer, and documentation archive items — the forward-looking dimensions distinct from the outcome reporting in §1–§8. The separation makes the operational handover actionable.</w:t>
      </w:r>
    </w:p>
    <w:p>
      <w:pPr>
        <w:pStyle w:val="Heading2"/>
      </w:pPr>
      <w:bookmarkStart w:id="31" w:name="notes-for-downstream-agents"/>
      <w:r>
        <w:t xml:space="preserve">11. Notes for downstream agents</w:t>
      </w:r>
      <w:bookmarkEnd w:id="31"/>
    </w:p>
    <w:p>
      <w:pPr>
        <w:numPr>
          <w:ilvl w:val="0"/>
          <w:numId w:val="1008"/>
        </w:numPr>
      </w:pPr>
      <w:r>
        <w:rPr>
          <w:b/>
        </w:rPr>
        <w:t xml:space="preserve">Lessons-Learned Synthesiser.</w:t>
      </w:r>
      <w:r>
        <w:t xml:space="preserve"> </w:t>
      </w:r>
      <w:r>
        <w:t xml:space="preserve">This closeout report’s §8 quotes headlines from the synthesis; the synthesis itself is the source-of-truth for lessons content. The two documents are bidirectional cross-references — closeout report cites synthesis sections; synthesis cites closeout outcome metrics. The §3 Risk Register Closeout Status here is one of the synthesis’s primary evidence sources for risk-themed lessons.</w:t>
      </w:r>
    </w:p>
    <w:p>
      <w:pPr>
        <w:numPr>
          <w:ilvl w:val="0"/>
          <w:numId w:val="1008"/>
        </w:numPr>
      </w:pPr>
      <w:r>
        <w:rPr>
          <w:b/>
        </w:rPr>
        <w:t xml:space="preserve">Portfolio Risk Reviewer.</w:t>
      </w:r>
      <w:r>
        <w:t xml:space="preserve"> </w:t>
      </w:r>
      <w:r>
        <w:t xml:space="preserve">Three closeout-state findings have portfolio-level relevance and should be referenced when reviewing other active projects in the renewables-plus-storage segment: (a) BESS vendor financial-health monitoring cadence (operational standard now monthly); (b) geotechnical investigation grid density on variable-terrain sites (operational standard now uniform-density); (c) the strategic-value-justifying-margin-compression governance discipline (Commercial Standards update pending CFO concurrence).</w:t>
      </w:r>
    </w:p>
    <w:p>
      <w:pPr>
        <w:numPr>
          <w:ilvl w:val="0"/>
          <w:numId w:val="1008"/>
        </w:numPr>
      </w:pPr>
      <w:r>
        <w:rPr>
          <w:b/>
        </w:rPr>
        <w:t xml:space="preserve">Status Reporter (post-SC and into warranty).</w:t>
      </w:r>
      <w:r>
        <w:t xml:space="preserve"> </w:t>
      </w:r>
      <w:r>
        <w:t xml:space="preserve">The warranty period generates a separate, lighter-cadence status reporting stream (quarterly during warranty, no portfolio dashboard inclusion unless an event triggers). The first quarterly warranty status report is due at month 3 post-SC; the format is a simplified subset of the construction-period status template.</w:t>
      </w:r>
    </w:p>
    <w:p>
      <w:pPr>
        <w:numPr>
          <w:ilvl w:val="0"/>
          <w:numId w:val="1008"/>
        </w:numPr>
      </w:pPr>
      <w:r>
        <w:rPr>
          <w:b/>
        </w:rPr>
        <w:t xml:space="preserve">Operations (warranty admin).</w:t>
      </w:r>
      <w:r>
        <w:t xml:space="preserve"> </w:t>
      </w:r>
      <w:r>
        <w:t xml:space="preserve">The 24-month warranty period and the items in §9 Operations handover form the operational handover to Northwood Operations under J. Tanaka. This closeout report is the single canonical reference for warranty obligations on Skyhawk.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2026-05-23T22:59:25Z</dcterms:created>
  <dcterms:modified xsi:type="dcterms:W3CDTF">2026-05-23T22:59:25Z</dcterms:modified>
</cp:coreProperties>
</file>

<file path=docProps/custom.xml><?xml version="1.0" encoding="utf-8"?>
<Properties xmlns="http://schemas.openxmlformats.org/officeDocument/2006/custom-properties" xmlns:vt="http://schemas.openxmlformats.org/officeDocument/2006/docPropsVTypes"/>
</file>