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f2a0db3ab23e12c3ad3bfc692902be5538ce2db"/>
      <w:r>
        <w:t xml:space="preserve">Weekly Status — Skyhawk Solar + Storage Phase 1</w:t>
      </w:r>
      <w:bookmarkEnd w:id="20"/>
    </w:p>
    <w:p>
      <w:pPr>
        <w:pStyle w:val="FirstParagraph"/>
      </w:pPr>
      <w:r>
        <w:rPr>
          <w:b/>
        </w:rPr>
        <w:t xml:space="preserve">Project:</w:t>
      </w:r>
      <w:r>
        <w:t xml:space="preserve"> </w:t>
      </w:r>
      <w:r>
        <w:t xml:space="preserve">NW-REN-2207</w:t>
      </w:r>
      <w:r>
        <w:t xml:space="preserve"> </w:t>
      </w:r>
      <w:r>
        <w:rPr>
          <w:b/>
        </w:rPr>
        <w:t xml:space="preserve">Reporting period:</w:t>
      </w:r>
      <w:r>
        <w:t xml:space="preserve"> </w:t>
      </w:r>
      <w:r>
        <w:t xml:space="preserve">Week 44 of construction (ending Sunday)</w:t>
      </w:r>
      <w:r>
        <w:t xml:space="preserve"> </w:t>
      </w:r>
      <w:r>
        <w:rPr>
          <w:b/>
        </w:rPr>
        <w:t xml:space="preserve">PM:</w:t>
      </w:r>
      <w:r>
        <w:t xml:space="preserve"> </w:t>
      </w:r>
      <w:r>
        <w:t xml:space="preserve">J. Okafor</w:t>
      </w:r>
      <w:r>
        <w:t xml:space="preserve"> </w:t>
      </w:r>
      <w:r>
        <w:rPr>
          <w:b/>
        </w:rPr>
        <w:t xml:space="preserve">Status (overall):</w:t>
      </w:r>
      <w:r>
        <w:t xml:space="preserve"> </w:t>
      </w:r>
      <w:r>
        <w:t xml:space="preserve">Amber — Interconnection studies late, recovery plan in place</w:t>
      </w:r>
    </w:p>
    <w:p>
      <w:pPr>
        <w:pStyle w:val="Heading2"/>
      </w:pPr>
      <w:bookmarkStart w:id="21" w:name="headline"/>
      <w:r>
        <w:t xml:space="preserve">Headline</w:t>
      </w:r>
      <w:bookmarkEnd w:id="21"/>
    </w:p>
    <w:p>
      <w:pPr>
        <w:pStyle w:val="FirstParagraph"/>
      </w:pPr>
      <w:r>
        <w:t xml:space="preserve">Utility interconnection studies confirmed Friday as 3 weeks late vs PPA-implied date, threatening grid energisation milestone of 1 May. Recovery plan agreed with utility coordinator: parallelise final commissioning checks, add a second commissioning crew weeks 50–52. Substantial Completion date holds.</w:t>
      </w:r>
    </w:p>
    <w:p>
      <w:pPr>
        <w:pStyle w:val="Heading2"/>
      </w:pPr>
      <w:bookmarkStart w:id="22" w:name="progress"/>
      <w:r>
        <w:t xml:space="preserve">Progress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Engineering:</w:t>
      </w:r>
      <w:r>
        <w:t xml:space="preserve"> </w:t>
      </w:r>
      <w:r>
        <w:t xml:space="preserve">100% complete.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Procurement:</w:t>
      </w:r>
      <w:r>
        <w:t xml:space="preserve"> </w:t>
      </w:r>
      <w:r>
        <w:t xml:space="preserve">all POs closed. BESS containers delivered; FATs all passed.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Construction:</w:t>
      </w:r>
      <w:r>
        <w:t xml:space="preserve"> </w:t>
      </w:r>
      <w:r>
        <w:t xml:space="preserve">PV mechanical completion 92%; substation 100%; MV collection 95%.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Commissioning:</w:t>
      </w:r>
      <w:r>
        <w:t xml:space="preserve"> </w:t>
      </w:r>
      <w:r>
        <w:t xml:space="preserve">PV string commissioning 60%; BESS commissioning ready to commence Week 46.</w:t>
      </w:r>
    </w:p>
    <w:p>
      <w:pPr>
        <w:pStyle w:val="Heading2"/>
      </w:pPr>
      <w:bookmarkStart w:id="23" w:name="schedule"/>
      <w:r>
        <w:t xml:space="preserve">Schedule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Variance to plan:</w:t>
      </w:r>
      <w:r>
        <w:t xml:space="preserve"> </w:t>
      </w:r>
      <w:r>
        <w:t xml:space="preserve">-1 week against current baseline.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Critical path:</w:t>
      </w:r>
      <w:r>
        <w:t xml:space="preserve"> </w:t>
      </w:r>
      <w:r>
        <w:t xml:space="preserve">Grid interconnection. Recovery plan absorbs 2 of 3 weeks of slip.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Forecast completion:</w:t>
      </w:r>
      <w:r>
        <w:t xml:space="preserve"> </w:t>
      </w:r>
      <w:r>
        <w:t xml:space="preserve">5 June (on baseline).</w:t>
      </w:r>
    </w:p>
    <w:p>
      <w:pPr>
        <w:pStyle w:val="Heading2"/>
      </w:pPr>
      <w:bookmarkStart w:id="24" w:name="cost-and-commercial"/>
      <w:r>
        <w:t xml:space="preserve">Cost and commercial</w:t>
      </w:r>
      <w:bookmarkEnd w:id="2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Cost-to-date vs plan:</w:t>
      </w:r>
      <w:r>
        <w:t xml:space="preserve"> </w:t>
      </w:r>
      <w:r>
        <w:t xml:space="preserve">-$200k under spend.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Forecast at completion:</w:t>
      </w:r>
      <w:r>
        <w:t xml:space="preserve"> </w:t>
      </w:r>
      <w:r>
        <w:t xml:space="preserve">+$180k overrun (overtime for second commissioning crew).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Margin trajectory:</w:t>
      </w:r>
      <w:r>
        <w:t xml:space="preserve"> </w:t>
      </w:r>
      <w:r>
        <w:t xml:space="preserve">holding at 8.8% (bid 8.8%).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Active change orders:</w:t>
      </w:r>
      <w:r>
        <w:t xml:space="preserve"> </w:t>
      </w:r>
      <w:r>
        <w:t xml:space="preserve">CO-02 (revised fence specification, $45k); CO-03 (additional access road, $230k, in negotiation).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Claims:</w:t>
      </w:r>
      <w:r>
        <w:t xml:space="preserve"> </w:t>
      </w:r>
      <w:r>
        <w:t xml:space="preserve">considering schedule-impact letter on utility interconnection delay.</w:t>
      </w:r>
    </w:p>
    <w:p>
      <w:pPr>
        <w:pStyle w:val="Heading2"/>
      </w:pPr>
      <w:bookmarkStart w:id="25" w:name="risks-and-issues"/>
      <w:r>
        <w:t xml:space="preserve">Risks and issues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Triggered:</w:t>
      </w:r>
      <w:r>
        <w:t xml:space="preserve"> </w:t>
      </w:r>
      <w:r>
        <w:t xml:space="preserve">R-001 (utility interconnection delay). Recovery plan executing.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New:</w:t>
      </w:r>
      <w:r>
        <w:t xml:space="preserve"> </w:t>
      </w:r>
      <w:r>
        <w:t xml:space="preserve">R-009 — Module shipment to be physically inspected pre-installation following industry advisory on a specific manufacturing batch. Inspection scheduled Week 45.</w:t>
      </w:r>
    </w:p>
    <w:p>
      <w:pPr>
        <w:pStyle w:val="Heading2"/>
      </w:pPr>
      <w:bookmarkStart w:id="26" w:name="safety-quality-environment"/>
      <w:r>
        <w:t xml:space="preserve">Safety / quality / environment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Zero LTIs. 2 first-aid cases this period. One environmental near-miss (minor fuel spill from a sub-contractor truck, fully contained, reported per protocol).</w:t>
      </w:r>
    </w:p>
    <w:p>
      <w:pPr>
        <w:pStyle w:val="Heading2"/>
      </w:pPr>
      <w:bookmarkStart w:id="27" w:name="look-ahead"/>
      <w:r>
        <w:t xml:space="preserve">Look-ahead</w:t>
      </w:r>
      <w:bookmarkEnd w:id="27"/>
    </w:p>
    <w:p>
      <w:pPr>
        <w:numPr>
          <w:ilvl w:val="0"/>
          <w:numId w:val="1006"/>
        </w:numPr>
        <w:pStyle w:val="Compact"/>
      </w:pPr>
      <w:r>
        <w:t xml:space="preserve">BESS commissioning commences Week 46.</w:t>
      </w:r>
    </w:p>
    <w:p>
      <w:pPr>
        <w:numPr>
          <w:ilvl w:val="0"/>
          <w:numId w:val="1006"/>
        </w:numPr>
        <w:pStyle w:val="Compact"/>
      </w:pPr>
      <w:r>
        <w:t xml:space="preserve">Utility energisation walkthrough, Week 48.</w:t>
      </w:r>
    </w:p>
    <w:p>
      <w:pPr>
        <w:numPr>
          <w:ilvl w:val="0"/>
          <w:numId w:val="1006"/>
        </w:numPr>
        <w:pStyle w:val="Compact"/>
      </w:pPr>
      <w:r>
        <w:t xml:space="preserve">Module batch inspection report, Week 45.</w:t>
      </w:r>
    </w:p>
    <w:p>
      <w:pPr>
        <w:numPr>
          <w:ilvl w:val="0"/>
          <w:numId w:val="1006"/>
        </w:numPr>
        <w:pStyle w:val="Compact"/>
      </w:pPr>
      <w:r>
        <w:t xml:space="preserve">Client visit, Week 47.</w:t>
      </w:r>
    </w:p>
    <w:p>
      <w:pPr>
        <w:pStyle w:val="Heading2"/>
      </w:pPr>
      <w:bookmarkStart w:id="28" w:name="asks"/>
      <w:r>
        <w:t xml:space="preserve">Asks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Director to support escalation with utility GM if Week 46 milestone slips. Owner: L. Chen.</w:t>
      </w:r>
    </w:p>
    <w:p>
      <w:pPr>
        <w:numPr>
          <w:ilvl w:val="0"/>
          <w:numId w:val="1007"/>
        </w:numPr>
        <w:pStyle w:val="Compact"/>
      </w:pPr>
      <w:r>
        <w:t xml:space="preserve">Sponsor approval of CO-03 once client signs ($230k revenue, ~10% margin). Owner: VP Renewables.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2026-05-18T20:06:33Z</dcterms:created>
  <dcterms:modified xsi:type="dcterms:W3CDTF">2026-05-18T20:06:33Z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