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fe30acd0071d5a0ff57aba87c5f04ebe98867c"/>
      <w:r>
        <w:t xml:space="preserve">Risk Register — Skyhawk Solar + Storage Phase 1</w:t>
      </w:r>
      <w:bookmarkEnd w:id="20"/>
    </w:p>
    <w:p>
      <w:pPr>
        <w:pStyle w:val="FirstParagraph"/>
      </w:pPr>
      <w:r>
        <w:rPr>
          <w:b/>
        </w:rPr>
        <w:t xml:space="preserve">Project ID:</w:t>
      </w:r>
      <w:r>
        <w:t xml:space="preserve"> </w:t>
      </w:r>
      <w:r>
        <w:t xml:space="preserve">NW-REN-2207</w:t>
      </w:r>
      <w:r>
        <w:t xml:space="preserve"> </w:t>
      </w:r>
      <w:r>
        <w:rPr>
          <w:b/>
        </w:rPr>
        <w:t xml:space="preserve">Status snapshot:</w:t>
      </w:r>
      <w:r>
        <w:t xml:space="preserve"> </w:t>
      </w:r>
      <w:r>
        <w:t xml:space="preserve">End of project. All risks closed.</w:t>
      </w:r>
    </w:p>
    <w:tbl>
      <w:tblPr>
        <w:tblStyle w:val="Table"/>
        <w:tblW w:type="pct" w:w="4999.999999999999"/>
        <w:tblLook w:firstRow="1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R-001</w:t>
            </w:r>
          </w:p>
        </w:tc>
        <w:tc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p>
            <w:pPr>
              <w:pStyle w:val="Compact"/>
              <w:jc w:val="left"/>
            </w:pPr>
            <w:r>
              <w:t xml:space="preserve">Utility interconnection studies delivered late, delaying energisation date and PPA commencement.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Mitigate — engage utility coordinator Day 1, escalation path via PPA terms</w:t>
            </w:r>
          </w:p>
        </w:tc>
        <w:tc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p>
            <w:pPr>
              <w:pStyle w:val="Compact"/>
              <w:jc w:val="left"/>
            </w:pPr>
            <w:r>
              <w:t xml:space="preserve">Utility confirms slip &gt; 2 weeks at any review</w:t>
            </w:r>
          </w:p>
        </w:tc>
        <w:tc>
          <w:p>
            <w:pPr>
              <w:pStyle w:val="Compact"/>
              <w:jc w:val="left"/>
            </w:pPr>
            <w:r>
              <w:t xml:space="preserve">Closed (Triggered Wk 43; recovery plan executed; SC on time)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R-002</w:t>
            </w:r>
          </w:p>
        </w:tc>
        <w:tc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p>
            <w:pPr>
              <w:pStyle w:val="Compact"/>
              <w:jc w:val="left"/>
            </w:pPr>
            <w:r>
              <w:t xml:space="preserve">BESS supply-chain disruption from sole-source OEM.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Mitigate — early PO, dual-source qualification, FAT before shipment</w:t>
            </w:r>
          </w:p>
        </w:tc>
        <w:tc>
          <w:p>
            <w:pPr>
              <w:pStyle w:val="Compact"/>
              <w:jc w:val="left"/>
            </w:pPr>
            <w:r>
              <w:t xml:space="preserve">Procurement Manager</w:t>
            </w:r>
          </w:p>
        </w:tc>
        <w:tc>
          <w:p>
            <w:pPr>
              <w:pStyle w:val="Compact"/>
              <w:jc w:val="left"/>
            </w:pPr>
            <w:r>
              <w:t xml:space="preserve">OEM signals delay &gt; 4 weeks</w:t>
            </w:r>
          </w:p>
        </w:tc>
        <w:tc>
          <w:p>
            <w:pPr>
              <w:pStyle w:val="Compact"/>
              <w:jc w:val="left"/>
            </w:pPr>
            <w:r>
              <w:t xml:space="preserve">Closed (FATs passed; delivery on time)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R-003</w:t>
            </w:r>
          </w:p>
        </w:tc>
        <w:tc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p>
            <w:pPr>
              <w:pStyle w:val="Compact"/>
              <w:jc w:val="left"/>
            </w:pPr>
            <w:r>
              <w:t xml:space="preserve">Module degradation in operation higher than design assumption.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Accept — 25-year manufacturer warranty, performance bond</w:t>
            </w:r>
          </w:p>
        </w:tc>
        <w:tc>
          <w:p>
            <w:pPr>
              <w:pStyle w:val="Compact"/>
              <w:jc w:val="left"/>
            </w:pPr>
            <w:r>
              <w:t xml:space="preserve">Engineering Lead</w:t>
            </w:r>
          </w:p>
        </w:tc>
        <w:tc>
          <w:p>
            <w:pPr>
              <w:pStyle w:val="Compact"/>
              <w:jc w:val="left"/>
            </w:pPr>
            <w:r>
              <w:t xml:space="preserve">Performance test results &gt; 1% off spec</w:t>
            </w:r>
          </w:p>
        </w:tc>
        <w:tc>
          <w:p>
            <w:pPr>
              <w:pStyle w:val="Compact"/>
              <w:jc w:val="left"/>
            </w:pPr>
            <w:r>
              <w:t xml:space="preserve">Closed (passed performance test in margin)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R-004</w:t>
            </w:r>
          </w:p>
        </w:tc>
        <w:tc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p>
            <w:pPr>
              <w:pStyle w:val="Compact"/>
              <w:jc w:val="left"/>
            </w:pPr>
            <w:r>
              <w:t xml:space="preserve">Monsoon season weather impacts civil works productivity.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Mitigate — front-load weather-sensitive work, daily weather review</w:t>
            </w:r>
          </w:p>
        </w:tc>
        <w:tc>
          <w:p>
            <w:pPr>
              <w:pStyle w:val="Compact"/>
              <w:jc w:val="left"/>
            </w:pPr>
            <w:r>
              <w:t xml:space="preserve">Construction Manager</w:t>
            </w:r>
          </w:p>
        </w:tc>
        <w:tc>
          <w:p>
            <w:pPr>
              <w:pStyle w:val="Compact"/>
              <w:jc w:val="left"/>
            </w:pPr>
            <w:r>
              <w:t xml:space="preserve">More than 5 lost-day events in any month</w:t>
            </w:r>
          </w:p>
        </w:tc>
        <w:tc>
          <w:p>
            <w:pPr>
              <w:pStyle w:val="Compact"/>
              <w:jc w:val="left"/>
            </w:pPr>
            <w:r>
              <w:t xml:space="preserve">Closed (4 lost-day events total; productivity tracked plan)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R-005</w:t>
            </w:r>
          </w:p>
        </w:tc>
        <w:tc>
          <w:p>
            <w:pPr>
              <w:pStyle w:val="Compact"/>
              <w:jc w:val="left"/>
            </w:pPr>
            <w:r>
              <w:t xml:space="preserve">People</w:t>
            </w:r>
          </w:p>
        </w:tc>
        <w:tc>
          <w:p>
            <w:pPr>
              <w:pStyle w:val="Compact"/>
              <w:jc w:val="left"/>
            </w:pPr>
            <w:r>
              <w:t xml:space="preserve">Regional labour shortage from competing construction boom.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Mitigate — early recruitment, retention bonuses, partner with local trades</w:t>
            </w:r>
          </w:p>
        </w:tc>
        <w:tc>
          <w:p>
            <w:pPr>
              <w:pStyle w:val="Compact"/>
              <w:jc w:val="left"/>
            </w:pPr>
            <w:r>
              <w:t xml:space="preserve">HR / Construction Manager</w:t>
            </w:r>
          </w:p>
        </w:tc>
        <w:tc>
          <w:p>
            <w:pPr>
              <w:pStyle w:val="Compact"/>
              <w:jc w:val="left"/>
            </w:pPr>
            <w:r>
              <w:t xml:space="preserve">Open positions remain &gt; 4 weeks past target</w:t>
            </w:r>
          </w:p>
        </w:tc>
        <w:tc>
          <w:p>
            <w:pPr>
              <w:pStyle w:val="Compact"/>
              <w:jc w:val="left"/>
            </w:pPr>
            <w:r>
              <w:t xml:space="preserve">Closed (workforce stabilised by Week 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R-006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Land access dispute with neighbouring landowner.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Accept — legal review, client 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p>
            <w:pPr>
              <w:pStyle w:val="Compact"/>
              <w:jc w:val="left"/>
            </w:pPr>
            <w:r>
              <w:t xml:space="preserve">Notice from landowner</w:t>
            </w:r>
          </w:p>
        </w:tc>
        <w:tc>
          <w:p>
            <w:pPr>
              <w:pStyle w:val="Compact"/>
              <w:jc w:val="left"/>
            </w:pPr>
            <w:r>
              <w:t xml:space="preserve">Closed (no dispute arose)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R-007</w:t>
            </w:r>
          </w:p>
        </w:tc>
        <w:tc>
          <w:p>
            <w:pPr>
              <w:pStyle w:val="Compact"/>
              <w:jc w:val="left"/>
            </w:pPr>
            <w:r>
              <w:t xml:space="preserve">Safety / HSE</w:t>
            </w:r>
          </w:p>
        </w:tc>
        <w:tc>
          <w:p>
            <w:pPr>
              <w:pStyle w:val="Compact"/>
              <w:jc w:val="left"/>
            </w:pPr>
            <w:r>
              <w:t xml:space="preserve">High-temperature exposure for construction workforce in summer months.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Mitigate — adjusted shift patterns, hydration stations, heat-stress monitoring</w:t>
            </w:r>
          </w:p>
        </w:tc>
        <w:tc>
          <w:p>
            <w:pPr>
              <w:pStyle w:val="Compact"/>
              <w:jc w:val="left"/>
            </w:pPr>
            <w:r>
              <w:t xml:space="preserve">HSE Lead</w:t>
            </w:r>
          </w:p>
        </w:tc>
        <w:tc>
          <w:p>
            <w:pPr>
              <w:pStyle w:val="Compact"/>
              <w:jc w:val="left"/>
            </w:pPr>
            <w:r>
              <w:t xml:space="preserve">Any heat-stress incident</w:t>
            </w:r>
          </w:p>
        </w:tc>
        <w:tc>
          <w:p>
            <w:pPr>
              <w:pStyle w:val="Compact"/>
              <w:jc w:val="left"/>
            </w:pPr>
            <w:r>
              <w:t xml:space="preserve">Closed (zero heat-stress incidents; 2 near-misses fed back to programme)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R-008</w:t>
            </w:r>
          </w:p>
        </w:tc>
        <w:tc>
          <w:p>
            <w:pPr>
              <w:pStyle w:val="Compact"/>
              <w:jc w:val="left"/>
            </w:pPr>
            <w:r>
              <w:t xml:space="preserve">Commercial</w:t>
            </w:r>
          </w:p>
        </w:tc>
        <w:tc>
          <w:p>
            <w:pPr>
              <w:pStyle w:val="Compact"/>
              <w:jc w:val="left"/>
            </w:pPr>
            <w:r>
              <w:t xml:space="preserve">Currency exposure on inverter and BESS POs (USD-denominated; no exposure expected).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Accept — USD-denominated POs</w:t>
            </w:r>
          </w:p>
        </w:tc>
        <w:tc>
          <w:p>
            <w:pPr>
              <w:pStyle w:val="Compact"/>
              <w:jc w:val="left"/>
            </w:pPr>
            <w:r>
              <w:t xml:space="preserve">Procurement Manager</w:t>
            </w:r>
          </w:p>
        </w:tc>
        <w:tc>
          <w:p>
            <w:pPr>
              <w:pStyle w:val="Compact"/>
              <w:jc w:val="left"/>
            </w:pPr>
            <w:r>
              <w:t xml:space="preserve">Vendor changes pricing currency</w:t>
            </w:r>
          </w:p>
        </w:tc>
        <w:tc>
          <w:p>
            <w:pPr>
              <w:pStyle w:val="Compact"/>
              <w:jc w:val="left"/>
            </w:pPr>
            <w:r>
              <w:t xml:space="preserve">Closed (no exposure)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R-009</w:t>
            </w:r>
          </w:p>
        </w:tc>
        <w:tc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p>
            <w:pPr>
              <w:pStyle w:val="Compact"/>
              <w:jc w:val="left"/>
            </w:pPr>
            <w:r>
              <w:t xml:space="preserve">Module manufacturing batch advisory (industry-wide) requires inspection of received units.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Mitigate — physical inspection of all batches before installation</w:t>
            </w:r>
          </w:p>
        </w:tc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>
            <w:pPr>
              <w:pStyle w:val="Compact"/>
              <w:jc w:val="left"/>
            </w:pPr>
            <w:r>
              <w:t xml:space="preserve">Industry advisory issued</w:t>
            </w:r>
          </w:p>
        </w:tc>
        <w:tc>
          <w:p>
            <w:pPr>
              <w:pStyle w:val="Compact"/>
              <w:jc w:val="left"/>
            </w:pPr>
            <w:r>
              <w:t xml:space="preserve">Closed (inspection passed; no rework)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R-010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Wildfire risk to project site during construction.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Mitigate — fire breaks, hot-work permits, on-site water reserves</w:t>
            </w:r>
          </w:p>
        </w:tc>
        <w:tc>
          <w:p>
            <w:pPr>
              <w:pStyle w:val="Compact"/>
              <w:jc w:val="left"/>
            </w:pPr>
            <w:r>
              <w:t xml:space="preserve">HSE Lead</w:t>
            </w:r>
          </w:p>
        </w:tc>
        <w:tc>
          <w:p>
            <w:pPr>
              <w:pStyle w:val="Compact"/>
              <w:jc w:val="left"/>
            </w:pPr>
            <w:r>
              <w:t xml:space="preserve">Regional fire-danger index &gt;</w:t>
            </w:r>
            <w:r>
              <w:t xml:space="preserve"> </w:t>
            </w:r>
            <w:r>
              <w:t xml:space="preserve">“</w:t>
            </w:r>
            <w:r>
              <w:t xml:space="preserve">Very High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Closed (one fire-watch standdown of 2 days; no incident)</w:t>
            </w:r>
          </w:p>
        </w:tc>
      </w:tr>
    </w:tbl>
    <w:p>
      <w:pPr>
        <w:pStyle w:val="Heading2"/>
      </w:pPr>
      <w:bookmarkStart w:id="21" w:name="lessons-logged"/>
      <w:r>
        <w:t xml:space="preserve">Lessons logged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Utility interconnection is a perennial schedule risk.</w:t>
      </w:r>
      <w:r>
        <w:t xml:space="preserve"> </w:t>
      </w:r>
      <w:r>
        <w:t xml:space="preserve">Recurred from Riverside (where it was different — state regulator inspection — but same pattern). PMO standard should be earliest possible engagement with all external dependency owners.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Dual-sourcing critical equipment paid off again.</w:t>
      </w:r>
      <w:r>
        <w:t xml:space="preserve"> </w:t>
      </w:r>
      <w:r>
        <w:t xml:space="preserve">Even though primary source delivered, the qualified secondary gave us pricing leverage and accelerated-delivery options if needed.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Weather window management is a Day-1 discipline, not a recovery technique.</w:t>
      </w:r>
      <w:r>
        <w:t xml:space="preserve"> </w:t>
      </w:r>
      <w:r>
        <w:t xml:space="preserve">Two of the four monsoon lost-day events were avoidable with better look-ahead — fed back into the firm’s weather-management standard.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2026-05-18T20:06:33Z</dcterms:created>
  <dcterms:modified xsi:type="dcterms:W3CDTF">2026-05-18T20:06:33Z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