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ironvale-smelter-modernisation"/>
      <w:r>
        <w:t xml:space="preserve">Ironvale Smelter Modernisation</w:t>
      </w:r>
      <w:bookmarkEnd w:id="20"/>
    </w:p>
    <w:p>
      <w:pPr>
        <w:pStyle w:val="FirstParagraph"/>
      </w:pPr>
      <w:r>
        <w:rPr>
          <w:b/>
        </w:rPr>
        <w:t xml:space="preserve">Project ID:</w:t>
      </w:r>
      <w:r>
        <w:t xml:space="preserve"> </w:t>
      </w:r>
      <w:r>
        <w:t xml:space="preserve">NW-IND-2110</w:t>
      </w:r>
      <w:r>
        <w:t xml:space="preserve"> </w:t>
      </w:r>
      <w:r>
        <w:rPr>
          <w:b/>
        </w:rPr>
        <w:t xml:space="preserve">Status at archive:</w:t>
      </w:r>
      <w:r>
        <w:t xml:space="preserve"> </w:t>
      </w:r>
      <w:r>
        <w:t xml:space="preserve">Closed, handed over 14 months ago. Warranty completed.</w:t>
      </w:r>
      <w:r>
        <w:t xml:space="preserve"> </w:t>
      </w:r>
      <w:r>
        <w:rPr>
          <w:b/>
        </w:rPr>
        <w:t xml:space="preserve">Contract value:</w:t>
      </w:r>
      <w:r>
        <w:t xml:space="preserve"> </w:t>
      </w:r>
      <w:r>
        <w:t xml:space="preserve">$26.5 million, T&amp;M with cap.</w:t>
      </w:r>
      <w:r>
        <w:t xml:space="preserve"> </w:t>
      </w:r>
      <w:r>
        <w:rPr>
          <w:b/>
        </w:rPr>
        <w:t xml:space="preserve">Duration:</w:t>
      </w:r>
      <w:r>
        <w:t xml:space="preserve"> </w:t>
      </w:r>
      <w:r>
        <w:t xml:space="preserve">11 months Award to Mechanical Completion.</w:t>
      </w:r>
      <w:r>
        <w:t xml:space="preserve"> </w:t>
      </w:r>
      <w:r>
        <w:rPr>
          <w:b/>
        </w:rPr>
        <w:t xml:space="preserve">Final margin:</w:t>
      </w:r>
      <w:r>
        <w:t xml:space="preserve"> </w:t>
      </w:r>
      <w:r>
        <w:t xml:space="preserve">12.3% (against bid margin of 10%).</w:t>
      </w:r>
    </w:p>
    <w:p>
      <w:pPr>
        <w:pStyle w:val="Heading2"/>
      </w:pPr>
      <w:bookmarkStart w:id="21" w:name="what-the-project-did"/>
      <w:r>
        <w:t xml:space="preserve">What the project did</w:t>
      </w:r>
      <w:bookmarkEnd w:id="21"/>
    </w:p>
    <w:p>
      <w:pPr>
        <w:pStyle w:val="FirstParagraph"/>
      </w:pPr>
      <w:r>
        <w:t xml:space="preserve">Modernisation of a 35-year-old secondary aluminium smelter — replacement of two furnace lines, full re-instrumentation, SCADA upgrade, environmental controls (baghouse, scrubber), and tie-ins to existing crucible casting bays. Client is a regional industrial group; smelter feeds their own downstream extrusion business.</w:t>
      </w:r>
    </w:p>
    <w:p>
      <w:pPr>
        <w:pStyle w:val="Heading2"/>
      </w:pPr>
      <w:bookmarkStart w:id="22" w:name="why-this-one-outperformed"/>
      <w:r>
        <w:t xml:space="preserve">Why this one outperformed</w:t>
      </w:r>
      <w:bookmarkEnd w:id="22"/>
    </w:p>
    <w:p>
      <w:pPr>
        <w:pStyle w:val="FirstParagraph"/>
      </w:pPr>
      <w:r>
        <w:t xml:space="preserve">T&amp;M contract structure with a cap, which suited a project where scope evolved through engineering. Strong client engagement — their plant engineer was effectively embedded with the Northwood team. Existing site conditions were unusually well-documented (the client had digitised plant records in the previous two years). No major scope changes after Engineering 60% review.</w:t>
      </w:r>
    </w:p>
    <w:p>
      <w:pPr>
        <w:pStyle w:val="Heading2"/>
      </w:pPr>
      <w:bookmarkStart w:id="23" w:name="notable"/>
      <w:r>
        <w:t xml:space="preserve">Notable</w:t>
      </w:r>
      <w:bookmarkEnd w:id="23"/>
    </w:p>
    <w:p>
      <w:pPr>
        <w:pStyle w:val="FirstParagraph"/>
      </w:pPr>
      <w:r>
        <w:t xml:space="preserve">Significant existing-condition risks (the original smelter was older than parts of Northwood’s risk catalogue assumed). Two latent defects discovered during demolition — both absorbed through the cap structure with client cost-share. Scheduling around plant production windows was tight but the client gave Northwood a full plant shutdown for the final tie-in week, which was the right call.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2026-05-18T20:06:33Z</dcterms:created>
  <dcterms:modified xsi:type="dcterms:W3CDTF">2026-05-18T20:06:33Z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