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d36e6c4797b789442a7bc1a4eae91a5a590273"/>
      <w:r>
        <w:t xml:space="preserve">Project Charter — Ironvale Smelter Modernisation</w:t>
      </w:r>
      <w:bookmarkEnd w:id="20"/>
    </w:p>
    <w:p>
      <w:pPr>
        <w:pStyle w:val="Heading2"/>
      </w:pPr>
      <w:bookmarkStart w:id="21" w:name="project-identification"/>
      <w:r>
        <w:t xml:space="preserve">1. Project identification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name:</w:t>
      </w:r>
      <w:r>
        <w:t xml:space="preserve"> </w:t>
      </w:r>
      <w:r>
        <w:t xml:space="preserve">Ironvale Smelter Modernisation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ID:</w:t>
      </w:r>
      <w:r>
        <w:t xml:space="preserve"> </w:t>
      </w:r>
      <w:r>
        <w:t xml:space="preserve">NW-IND-2110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Client:</w:t>
      </w:r>
      <w:r>
        <w:t xml:space="preserve"> </w:t>
      </w:r>
      <w:r>
        <w:t xml:space="preserve">Ironvale Metals Group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Contract type:</w:t>
      </w:r>
      <w:r>
        <w:t xml:space="preserve"> </w:t>
      </w:r>
      <w:r>
        <w:t xml:space="preserve">T&amp;M with cap ($30M cap)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Contract value:</w:t>
      </w:r>
      <w:r>
        <w:t xml:space="preserve"> </w:t>
      </w:r>
      <w:r>
        <w:t xml:space="preserve">$26.5 million (working value at Award)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Effective date:</w:t>
      </w:r>
      <w:r>
        <w:t xml:space="preserve"> </w:t>
      </w:r>
      <w:r>
        <w:t xml:space="preserve">14 August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Target Mechanical Completion:</w:t>
      </w:r>
      <w:r>
        <w:t xml:space="preserve"> </w:t>
      </w:r>
      <w:r>
        <w:t xml:space="preserve">30 June, year+1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Sponsor (Northwood):</w:t>
      </w:r>
      <w:r>
        <w:t xml:space="preserve"> </w:t>
      </w:r>
      <w:r>
        <w:t xml:space="preserve">VP Industrial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Director:</w:t>
      </w:r>
      <w:r>
        <w:t xml:space="preserve"> </w:t>
      </w:r>
      <w:r>
        <w:t xml:space="preserve">S. Friedman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Manager:</w:t>
      </w:r>
      <w:r>
        <w:t xml:space="preserve"> </w:t>
      </w:r>
      <w:r>
        <w:t xml:space="preserve">P. Beaumont</w:t>
      </w:r>
    </w:p>
    <w:p>
      <w:pPr>
        <w:pStyle w:val="Heading2"/>
      </w:pPr>
      <w:bookmarkStart w:id="22" w:name="overview"/>
      <w:r>
        <w:t xml:space="preserve">2. Overview</w:t>
      </w:r>
      <w:bookmarkEnd w:id="22"/>
    </w:p>
    <w:p>
      <w:pPr>
        <w:pStyle w:val="FirstParagraph"/>
      </w:pPr>
      <w:r>
        <w:t xml:space="preserve">Modernisation of an operating secondary aluminium smelter to extend plant life by 20 years and bring emissions performance within the latest state air-quality limits. Northwood replaces two of the three furnace lines, upgrades the SCADA and instrumentation system end-to-end, installs new baghouse and scrubber for environmental control, and ties the new lines into the existing crucible casting bays.</w:t>
      </w:r>
    </w:p>
    <w:p>
      <w:pPr>
        <w:pStyle w:val="Heading2"/>
      </w:pPr>
      <w:bookmarkStart w:id="23" w:name="objectives"/>
      <w:r>
        <w:t xml:space="preserve">3. Objectives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Replace Furnace Lines A and B with new technology, verified through 14-day production performance test, by 30 June year+1.</w:t>
      </w:r>
    </w:p>
    <w:p>
      <w:pPr>
        <w:numPr>
          <w:ilvl w:val="0"/>
          <w:numId w:val="1002"/>
        </w:numPr>
        <w:pStyle w:val="Compact"/>
      </w:pPr>
      <w:r>
        <w:t xml:space="preserve">Achieve emissions compliance with state Air Quality Rule 27 (effective immediately at restart) verified during commissioning.</w:t>
      </w:r>
    </w:p>
    <w:p>
      <w:pPr>
        <w:numPr>
          <w:ilvl w:val="0"/>
          <w:numId w:val="1002"/>
        </w:numPr>
        <w:pStyle w:val="Compact"/>
      </w:pPr>
      <w:r>
        <w:t xml:space="preserve">Maintain client production output on the unaffected Furnace Line C throughout construction (no shutdown of C beyond planned tie-in week).</w:t>
      </w:r>
    </w:p>
    <w:p>
      <w:pPr>
        <w:numPr>
          <w:ilvl w:val="0"/>
          <w:numId w:val="1002"/>
        </w:numPr>
        <w:pStyle w:val="Compact"/>
      </w:pPr>
      <w:r>
        <w:t xml:space="preserve">Deliver at or above 10% margin with cost variance within ±5% (T&amp;M cap rules).</w:t>
      </w:r>
    </w:p>
    <w:p>
      <w:pPr>
        <w:numPr>
          <w:ilvl w:val="0"/>
          <w:numId w:val="1002"/>
        </w:numPr>
        <w:pStyle w:val="Compact"/>
      </w:pPr>
      <w:r>
        <w:t xml:space="preserve">Zero lost-time injuries.</w:t>
      </w:r>
    </w:p>
    <w:p>
      <w:pPr>
        <w:pStyle w:val="Heading2"/>
      </w:pPr>
      <w:bookmarkStart w:id="24" w:name="scope"/>
      <w:r>
        <w:t xml:space="preserve">4. Scope</w:t>
      </w:r>
      <w:bookmarkEnd w:id="24"/>
    </w:p>
    <w:p>
      <w:pPr>
        <w:pStyle w:val="Heading3"/>
      </w:pPr>
      <w:bookmarkStart w:id="25" w:name="in-scope"/>
      <w:r>
        <w:t xml:space="preserve">4.1 In scope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Detailed design of furnace lines A and B, SCADA, baghouse, scrubber.</w:t>
      </w:r>
    </w:p>
    <w:p>
      <w:pPr>
        <w:numPr>
          <w:ilvl w:val="0"/>
          <w:numId w:val="1003"/>
        </w:numPr>
        <w:pStyle w:val="Compact"/>
      </w:pPr>
      <w:r>
        <w:t xml:space="preserve">Procurement of furnaces, baghouse modules, scrubber, motor control centres, instrumentation, control system hardware.</w:t>
      </w:r>
    </w:p>
    <w:p>
      <w:pPr>
        <w:numPr>
          <w:ilvl w:val="0"/>
          <w:numId w:val="1003"/>
        </w:numPr>
        <w:pStyle w:val="Compact"/>
      </w:pPr>
      <w:r>
        <w:t xml:space="preserve">Demolition of existing Furnace Lines A and B.</w:t>
      </w:r>
    </w:p>
    <w:p>
      <w:pPr>
        <w:numPr>
          <w:ilvl w:val="0"/>
          <w:numId w:val="1003"/>
        </w:numPr>
        <w:pStyle w:val="Compact"/>
      </w:pPr>
      <w:r>
        <w:t xml:space="preserve">Construction and installation of new lines, environmental controls, SCADA upgrade.</w:t>
      </w:r>
    </w:p>
    <w:p>
      <w:pPr>
        <w:numPr>
          <w:ilvl w:val="0"/>
          <w:numId w:val="1003"/>
        </w:numPr>
        <w:pStyle w:val="Compact"/>
      </w:pPr>
      <w:r>
        <w:t xml:space="preserve">Tie-ins to existing crucible bays and ancillary services.</w:t>
      </w:r>
    </w:p>
    <w:p>
      <w:pPr>
        <w:numPr>
          <w:ilvl w:val="0"/>
          <w:numId w:val="1003"/>
        </w:numPr>
        <w:pStyle w:val="Compact"/>
      </w:pPr>
      <w:r>
        <w:t xml:space="preserve">Commissioning, performance testing, operator training, as-builts.</w:t>
      </w:r>
    </w:p>
    <w:p>
      <w:pPr>
        <w:numPr>
          <w:ilvl w:val="0"/>
          <w:numId w:val="1003"/>
        </w:numPr>
        <w:pStyle w:val="Compact"/>
      </w:pPr>
      <w:r>
        <w:t xml:space="preserve">12-month warranty (shorter than standard due to T&amp;M structure).</w:t>
      </w:r>
    </w:p>
    <w:p>
      <w:pPr>
        <w:pStyle w:val="Heading3"/>
      </w:pPr>
      <w:bookmarkStart w:id="26" w:name="out-of-scope"/>
      <w:r>
        <w:t xml:space="preserve">4.2 Out of scope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Furnace Line C (not part of this scope).</w:t>
      </w:r>
    </w:p>
    <w:p>
      <w:pPr>
        <w:numPr>
          <w:ilvl w:val="0"/>
          <w:numId w:val="1004"/>
        </w:numPr>
        <w:pStyle w:val="Compact"/>
      </w:pPr>
      <w:r>
        <w:t xml:space="preserve">Casting bay equipment.</w:t>
      </w:r>
    </w:p>
    <w:p>
      <w:pPr>
        <w:numPr>
          <w:ilvl w:val="0"/>
          <w:numId w:val="1004"/>
        </w:numPr>
        <w:pStyle w:val="Compact"/>
      </w:pPr>
      <w:r>
        <w:t xml:space="preserve">Site civil works beyond the furnace bay perimeter.</w:t>
      </w:r>
    </w:p>
    <w:p>
      <w:pPr>
        <w:numPr>
          <w:ilvl w:val="0"/>
          <w:numId w:val="1004"/>
        </w:numPr>
        <w:pStyle w:val="Compact"/>
      </w:pPr>
      <w:r>
        <w:t xml:space="preserve">Permits (client).</w:t>
      </w:r>
    </w:p>
    <w:p>
      <w:pPr>
        <w:pStyle w:val="Heading2"/>
      </w:pPr>
      <w:bookmarkStart w:id="27" w:name="key-stakeholders"/>
      <w:r>
        <w:t xml:space="preserve">5. Key stakeholders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p>
            <w:pPr>
              <w:pStyle w:val="Compact"/>
              <w:jc w:val="left"/>
            </w:pPr>
            <w:r>
              <w:t xml:space="preserve">VP Industrial</w:t>
            </w:r>
          </w:p>
        </w:tc>
        <w:tc>
          <w:p>
            <w:pPr>
              <w:pStyle w:val="Compact"/>
              <w:jc w:val="left"/>
            </w:pPr>
            <w:r>
              <w:t xml:space="preserve">Northwood</w:t>
            </w:r>
          </w:p>
        </w:tc>
        <w:tc>
          <w:p>
            <w:pPr>
              <w:pStyle w:val="Compact"/>
              <w:jc w:val="left"/>
            </w:pPr>
            <w:r>
              <w:t xml:space="preserve">Internal accountability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t xml:space="preserve">S. Friedman</w:t>
            </w:r>
          </w:p>
        </w:tc>
        <w:tc>
          <w:p>
            <w:pPr>
              <w:pStyle w:val="Compact"/>
              <w:jc w:val="left"/>
            </w:pPr>
            <w:r>
              <w:t xml:space="preserve">Northwood</w:t>
            </w:r>
          </w:p>
        </w:tc>
        <w:tc>
          <w:p>
            <w:pPr>
              <w:pStyle w:val="Compact"/>
              <w:jc w:val="left"/>
            </w:pPr>
            <w:r>
              <w:t xml:space="preserve">Commercial 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P. Beaumont</w:t>
            </w:r>
          </w:p>
        </w:tc>
        <w:tc>
          <w:p>
            <w:pPr>
              <w:pStyle w:val="Compact"/>
              <w:jc w:val="left"/>
            </w:pPr>
            <w:r>
              <w:t xml:space="preserve">Northwood</w:t>
            </w:r>
          </w:p>
        </w:tc>
        <w:tc>
          <w:p>
            <w:pPr>
              <w:pStyle w:val="Compact"/>
              <w:jc w:val="left"/>
            </w:pPr>
            <w:r>
              <w:t xml:space="preserve">Day-to-day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Plant Engineer</w:t>
            </w:r>
          </w:p>
        </w:tc>
        <w:tc>
          <w:p>
            <w:pPr>
              <w:pStyle w:val="Compact"/>
              <w:jc w:val="left"/>
            </w:pPr>
            <w:r>
              <w:t xml:space="preserve">T. Hartnett</w:t>
            </w:r>
          </w:p>
        </w:tc>
        <w:tc>
          <w:p>
            <w:pPr>
              <w:pStyle w:val="Compact"/>
              <w:jc w:val="left"/>
            </w:pPr>
            <w:r>
              <w:t xml:space="preserve">Ironvale Metals</w:t>
            </w:r>
          </w:p>
        </w:tc>
        <w:tc>
          <w:p>
            <w:pPr>
              <w:pStyle w:val="Compact"/>
              <w:jc w:val="left"/>
            </w:pPr>
            <w:r>
              <w:t xml:space="preserve">Embedded with Northwood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Operations Manager</w:t>
            </w:r>
          </w:p>
        </w:tc>
        <w:tc>
          <w:p>
            <w:pPr>
              <w:pStyle w:val="Compact"/>
              <w:jc w:val="left"/>
            </w:pPr>
            <w:r>
              <w:t xml:space="preserve">(Various)</w:t>
            </w:r>
          </w:p>
        </w:tc>
        <w:tc>
          <w:p>
            <w:pPr>
              <w:pStyle w:val="Compact"/>
              <w:jc w:val="left"/>
            </w:pPr>
            <w:r>
              <w:t xml:space="preserve">Ironvale Metals</w:t>
            </w:r>
          </w:p>
        </w:tc>
        <w:tc>
          <w:p>
            <w:pPr>
              <w:pStyle w:val="Compact"/>
              <w:jc w:val="left"/>
            </w:pPr>
            <w:r>
              <w:t xml:space="preserve">Production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Air Regulator</w:t>
            </w:r>
          </w:p>
        </w:tc>
        <w:tc>
          <w:p>
            <w:pPr>
              <w:pStyle w:val="Compact"/>
              <w:jc w:val="left"/>
            </w:pPr>
            <w:r>
              <w:t xml:space="preserve">(Various)</w:t>
            </w:r>
          </w:p>
        </w:tc>
        <w:tc>
          <w:p>
            <w:pPr>
              <w:pStyle w:val="Compact"/>
              <w:jc w:val="left"/>
            </w:pPr>
            <w:r>
              <w:t xml:space="preserve">State Environmental</w:t>
            </w:r>
          </w:p>
        </w:tc>
        <w:tc>
          <w:p>
            <w:pPr>
              <w:pStyle w:val="Compact"/>
              <w:jc w:val="left"/>
            </w:pPr>
            <w:r>
              <w:t xml:space="preserve">Permit, sign-off</w:t>
            </w:r>
          </w:p>
        </w:tc>
      </w:tr>
    </w:tbl>
    <w:p>
      <w:pPr>
        <w:pStyle w:val="Heading2"/>
      </w:pPr>
      <w:bookmarkStart w:id="28" w:name="schedule-and-milestones"/>
      <w:r>
        <w:t xml:space="preserve">6. Schedule and milestones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Payment milestone?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 60% review</w:t>
            </w:r>
          </w:p>
        </w:tc>
        <w:tc>
          <w:p>
            <w:pPr>
              <w:pStyle w:val="Compact"/>
              <w:jc w:val="left"/>
            </w:pPr>
            <w:r>
              <w:t xml:space="preserve">15 December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Long-lead furnace POs released</w:t>
            </w:r>
          </w:p>
        </w:tc>
        <w:tc>
          <w:p>
            <w:pPr>
              <w:pStyle w:val="Compact"/>
              <w:jc w:val="left"/>
            </w:pPr>
            <w:r>
              <w:t xml:space="preserve">15 January year+1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Demolition complete</w:t>
            </w:r>
          </w:p>
        </w:tc>
        <w:tc>
          <w:p>
            <w:pPr>
              <w:pStyle w:val="Compact"/>
              <w:jc w:val="left"/>
            </w:pPr>
            <w:r>
              <w:t xml:space="preserve">28 February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Furnace Line A mechanical complete</w:t>
            </w:r>
          </w:p>
        </w:tc>
        <w:tc>
          <w:p>
            <w:pPr>
              <w:pStyle w:val="Compact"/>
              <w:jc w:val="left"/>
            </w:pPr>
            <w:r>
              <w:t xml:space="preserve">15 April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Furnace Line B mechanical complete</w:t>
            </w:r>
          </w:p>
        </w:tc>
        <w:tc>
          <w:p>
            <w:pPr>
              <w:pStyle w:val="Compact"/>
              <w:jc w:val="left"/>
            </w:pPr>
            <w:r>
              <w:t xml:space="preserve">30 May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Environmental controls commissioned</w:t>
            </w:r>
          </w:p>
        </w:tc>
        <w:tc>
          <w:p>
            <w:pPr>
              <w:pStyle w:val="Compact"/>
              <w:jc w:val="left"/>
            </w:pPr>
            <w:r>
              <w:t xml:space="preserve">10 June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Plant shutdown for tie-in</w:t>
            </w:r>
          </w:p>
        </w:tc>
        <w:tc>
          <w:p>
            <w:pPr>
              <w:pStyle w:val="Compact"/>
              <w:jc w:val="left"/>
            </w:pPr>
            <w:r>
              <w:t xml:space="preserve">15–22 June year+1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Mechanical Completion</w:t>
            </w:r>
          </w:p>
        </w:tc>
        <w:tc>
          <w:p>
            <w:pPr>
              <w:pStyle w:val="Compact"/>
              <w:jc w:val="left"/>
            </w:pPr>
            <w:r>
              <w:t xml:space="preserve">30 June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Heading2"/>
      </w:pPr>
      <w:bookmarkStart w:id="29" w:name="commercial-baseline"/>
      <w:r>
        <w:t xml:space="preserve">7. Commercial baseline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Working value:</w:t>
      </w:r>
      <w:r>
        <w:t xml:space="preserve"> </w:t>
      </w:r>
      <w:r>
        <w:t xml:space="preserve">$26.5M; cap $30.0M.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Internal target margin:</w:t>
      </w:r>
      <w:r>
        <w:t xml:space="preserve"> </w:t>
      </w:r>
      <w:r>
        <w:t xml:space="preserve">10%.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Approved budget (cost):</w:t>
      </w:r>
      <w:r>
        <w:t xml:space="preserve"> </w:t>
      </w:r>
      <w:r>
        <w:t xml:space="preserve">$23.85M (against working value).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Contingency:</w:t>
      </w:r>
      <w:r>
        <w:t xml:space="preserve"> </w:t>
      </w:r>
      <w:r>
        <w:t xml:space="preserve">Embedded in cap differential.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LDs:</w:t>
      </w:r>
      <w:r>
        <w:t xml:space="preserve"> </w:t>
      </w:r>
      <w:r>
        <w:t xml:space="preserve">Limited; daily rate $25k capped at $1M.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Retention:</w:t>
      </w:r>
      <w:r>
        <w:t xml:space="preserve"> </w:t>
      </w:r>
      <w:r>
        <w:t xml:space="preserve">5%.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Payment terms:</w:t>
      </w:r>
      <w:r>
        <w:t xml:space="preserve"> </w:t>
      </w:r>
      <w:r>
        <w:t xml:space="preserve">Monthly progress billing, Net 30.</w:t>
      </w:r>
    </w:p>
    <w:p>
      <w:pPr>
        <w:pStyle w:val="Heading2"/>
      </w:pPr>
      <w:bookmarkStart w:id="30" w:name="risks-top-5"/>
      <w:r>
        <w:t xml:space="preserve">8. Risks (top 5)</w:t>
      </w:r>
      <w:bookmarkEnd w:id="3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defects in 35-year-old facility surface during demolition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Mitigate — pre-demolition surveys; T&amp;M structure absorbs limited variation; client cost-share above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Plant shutdown window for tie-in exceeds 7 days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extensive dry-runs, parallel work fronts, full pre-assembly off-site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regulator permit conditions tighten during project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Accept — regular liaison, change-order vehicle if conditions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Furnace OEM delivery delay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early PO, expediting, qualified alternative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interruption on Furnace Line C during construction</w:t>
            </w:r>
          </w:p>
        </w:tc>
        <w:tc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Avoid — physical isolation, dedicated client liaison, daily coordination</w:t>
            </w:r>
          </w:p>
        </w:tc>
      </w:tr>
    </w:tbl>
    <w:p>
      <w:pPr>
        <w:pStyle w:val="Heading2"/>
      </w:pPr>
      <w:bookmarkStart w:id="31" w:name="assumptions"/>
      <w:r>
        <w:t xml:space="preserve">9. Assumptions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Existing site documentation reflects current as-installed conditions (Ironvale digitised records 2 years ago).</w:t>
      </w:r>
    </w:p>
    <w:p>
      <w:pPr>
        <w:numPr>
          <w:ilvl w:val="0"/>
          <w:numId w:val="1006"/>
        </w:numPr>
        <w:pStyle w:val="Compact"/>
      </w:pPr>
      <w:r>
        <w:t xml:space="preserve">Client provides agreed 7-day shutdown window in June year+1.</w:t>
      </w:r>
    </w:p>
    <w:p>
      <w:pPr>
        <w:numPr>
          <w:ilvl w:val="0"/>
          <w:numId w:val="1006"/>
        </w:numPr>
        <w:pStyle w:val="Compact"/>
      </w:pPr>
      <w:r>
        <w:t xml:space="preserve">Permits remain valid through Mechanical Completion.</w:t>
      </w:r>
    </w:p>
    <w:p>
      <w:pPr>
        <w:pStyle w:val="Heading2"/>
      </w:pPr>
      <w:bookmarkStart w:id="32" w:name="constraints"/>
      <w:r>
        <w:t xml:space="preserve">10. Constraints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Furnace Line C must remain operational throughout construction except during the agreed shutdown window.</w:t>
      </w:r>
    </w:p>
    <w:p>
      <w:pPr>
        <w:numPr>
          <w:ilvl w:val="0"/>
          <w:numId w:val="1007"/>
        </w:numPr>
        <w:pStyle w:val="Compact"/>
      </w:pPr>
      <w:r>
        <w:t xml:space="preserve">State Air Quality Rule 27 effective immediately at restart of Lines A and B.</w:t>
      </w:r>
    </w:p>
    <w:p>
      <w:pPr>
        <w:pStyle w:val="Heading2"/>
      </w:pPr>
      <w:bookmarkStart w:id="33" w:name="governance"/>
      <w:r>
        <w:t xml:space="preserve">11. Governance</w:t>
      </w:r>
      <w:bookmarkEnd w:id="33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Reporting cadence:</w:t>
      </w:r>
      <w:r>
        <w:t xml:space="preserve"> </w:t>
      </w:r>
      <w:r>
        <w:t xml:space="preserve">weekly internal, biweekly client, monthly portfolio.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Decision rights:</w:t>
      </w:r>
      <w:r>
        <w:t xml:space="preserve"> </w:t>
      </w:r>
      <w:r>
        <w:t xml:space="preserve">PM up to $40k, Director up to $400k, Sponsor above.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Change orders:</w:t>
      </w:r>
      <w:r>
        <w:t xml:space="preserve"> </w:t>
      </w:r>
      <w:r>
        <w:t xml:space="preserve">T&amp;M contract with cap; variations through formal change-order with client cost-share at thresholds defined in contract.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Escalation:</w:t>
      </w:r>
      <w:r>
        <w:t xml:space="preserve"> </w:t>
      </w:r>
      <w:r>
        <w:t xml:space="preserve">PM → Director → Sponsor.</w:t>
      </w:r>
    </w:p>
    <w:p>
      <w:pPr>
        <w:pStyle w:val="Heading2"/>
      </w:pPr>
      <w:bookmarkStart w:id="34" w:name="approval"/>
      <w:r>
        <w:t xml:space="preserve">12. Approval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p>
            <w:pPr>
              <w:pStyle w:val="Compact"/>
              <w:jc w:val="left"/>
            </w:pPr>
            <w:r>
              <w:t xml:space="preserve">VP Industrial</w:t>
            </w:r>
          </w:p>
        </w:tc>
        <w:tc>
          <w:p>
            <w:pPr>
              <w:pStyle w:val="Compact"/>
              <w:jc w:val="left"/>
            </w:pPr>
            <w:r>
              <w:t xml:space="preserve">(signed)</w:t>
            </w:r>
          </w:p>
        </w:tc>
        <w:tc>
          <w:p>
            <w:pPr>
              <w:pStyle w:val="Compact"/>
              <w:jc w:val="left"/>
            </w:pPr>
            <w:r>
              <w:t xml:space="preserve">10 August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t xml:space="preserve">S. Friedman</w:t>
            </w:r>
          </w:p>
        </w:tc>
        <w:tc>
          <w:p>
            <w:pPr>
              <w:pStyle w:val="Compact"/>
              <w:jc w:val="left"/>
            </w:pPr>
            <w:r>
              <w:t xml:space="preserve">(signed)</w:t>
            </w:r>
          </w:p>
        </w:tc>
        <w:tc>
          <w:p>
            <w:pPr>
              <w:pStyle w:val="Compact"/>
              <w:jc w:val="left"/>
            </w:pPr>
            <w:r>
              <w:t xml:space="preserve">10 August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P. Beaumont</w:t>
            </w:r>
          </w:p>
        </w:tc>
        <w:tc>
          <w:p>
            <w:pPr>
              <w:pStyle w:val="Compact"/>
              <w:jc w:val="left"/>
            </w:pPr>
            <w:r>
              <w:t xml:space="preserve">(signed)</w:t>
            </w:r>
          </w:p>
        </w:tc>
        <w:tc>
          <w:p>
            <w:pPr>
              <w:pStyle w:val="Compact"/>
              <w:jc w:val="left"/>
            </w:pPr>
            <w:r>
              <w:t xml:space="preserve">14 August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2026-05-18T20:06:33Z</dcterms:created>
  <dcterms:modified xsi:type="dcterms:W3CDTF">2026-05-18T20:06:33Z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