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3245108b960190919a927af937b89f82c6656a"/>
      <w:r>
        <w:t xml:space="preserve">Project Issue Log — Ironvale Smelter Modernisation</w:t>
      </w:r>
      <w:bookmarkEnd w:id="20"/>
    </w:p>
    <w:p>
      <w:pPr>
        <w:pStyle w:val="BlockText"/>
      </w:pPr>
      <w:r>
        <w:rPr>
          <w:b/>
        </w:rPr>
        <w:t xml:space="preserve">Note on this document’s role as a worked example.</w:t>
      </w:r>
      <w:r>
        <w:t xml:space="preserve"> </w:t>
      </w:r>
      <w:r>
        <w:t xml:space="preserve">This is the COMMITTED Project Issue Log for Ironvale Smelter Modernisation, presented in its closeout state — every issue tracked from project initiation through Mechanical Completion, with the disposition of each recorded. When the Issue Logger agent uses this as a worked example for a new project, items shown as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with a resolution narrative reflect what was logged and resolved during execution; a new project’s Week 0 baseline log would carry only the open items derivable from the approved Charter and upstream Planning artefacts (the WBS, Schedule, Budget, Stakeholder Register, Communications Plan) — items already flagged for follow-up rather than issues yet to materialise. The closeout-state log shown here demonstrates the discipline of issue capture, categorisation, linkage, and resolution that the agent should imitate.</w:t>
      </w:r>
    </w:p>
    <w:p>
      <w:pPr>
        <w:pStyle w:val="Heading2"/>
      </w:pPr>
      <w:bookmarkStart w:id="21" w:name="project-context"/>
      <w:r>
        <w:t xml:space="preserve">1. Project context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Project:</w:t>
      </w:r>
      <w:r>
        <w:t xml:space="preserve"> </w:t>
      </w:r>
      <w:r>
        <w:t xml:space="preserve">Ironvale Smelter Modernisation (NW-IND-2110)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Client:</w:t>
      </w:r>
      <w:r>
        <w:t xml:space="preserve"> </w:t>
      </w:r>
      <w:r>
        <w:t xml:space="preserve">Ironvale Metals Group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Contract:</w:t>
      </w:r>
      <w:r>
        <w:t xml:space="preserve"> </w:t>
      </w:r>
      <w:r>
        <w:t xml:space="preserve">T&amp;M with $30M cap; working value $26.5M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Duration:</w:t>
      </w:r>
      <w:r>
        <w:t xml:space="preserve"> </w:t>
      </w:r>
      <w:r>
        <w:t xml:space="preserve">11 months Award (14 August) → Mechanical Completion (30 June year+1)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Northwood PM:</w:t>
      </w:r>
      <w:r>
        <w:t xml:space="preserve"> </w:t>
      </w:r>
      <w:r>
        <w:t xml:space="preserve">P. Beaumont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 log baseline date:</w:t>
      </w:r>
      <w:r>
        <w:t xml:space="preserve"> </w:t>
      </w:r>
      <w:r>
        <w:t xml:space="preserve">Week 0 (initial seed from charter open items); maintained through Mechanical Completion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 log state shown:</w:t>
      </w:r>
      <w:r>
        <w:t xml:space="preserve"> </w:t>
      </w:r>
      <w:r>
        <w:t xml:space="preserve">Closeout (post-Mechanical Completion, all issues either resolved or transferred to warranty)</w:t>
      </w:r>
    </w:p>
    <w:p>
      <w:pPr>
        <w:pStyle w:val="Heading2"/>
      </w:pPr>
      <w:bookmarkStart w:id="22" w:name="issue-log"/>
      <w:r>
        <w:t xml:space="preserve">2. Issue log</w:t>
      </w:r>
      <w:bookmarkEnd w:id="22"/>
    </w:p>
    <w:p>
      <w:pPr>
        <w:pStyle w:val="FirstParagraph"/>
      </w:pPr>
      <w:r>
        <w:t xml:space="preserve">The log below is the running register of operational issues. An</w:t>
      </w:r>
      <w:r>
        <w:t xml:space="preserve"> </w:t>
      </w:r>
      <w:r>
        <w:t xml:space="preserve">“</w:t>
      </w:r>
      <w:r>
        <w:t xml:space="preserve">issue</w:t>
      </w:r>
      <w:r>
        <w:t xml:space="preserve">”</w:t>
      </w:r>
      <w:r>
        <w:t xml:space="preserve"> </w:t>
      </w:r>
      <w:r>
        <w:t xml:space="preserve">is something that has happened or has become an open item requiring follow-up action — distinct from a</w:t>
      </w:r>
      <w:r>
        <w:t xml:space="preserve"> </w:t>
      </w:r>
      <w:r>
        <w:t xml:space="preserve">“</w:t>
      </w:r>
      <w:r>
        <w:t xml:space="preserve">risk</w:t>
      </w:r>
      <w:r>
        <w:t xml:space="preserve">”</w:t>
      </w:r>
      <w:r>
        <w:t xml:space="preserve"> </w:t>
      </w:r>
      <w:r>
        <w:t xml:space="preserve">(something that may happen but has not yet). The risk register (</w:t>
      </w:r>
      <w:r>
        <w:rPr>
          <w:rStyle w:val="VerbatimChar"/>
        </w:rPr>
        <w:t xml:space="preserve">04_risk_register.md</w:t>
      </w:r>
      <w:r>
        <w:t xml:space="preserve">) holds risks; this log holds issues. When a risk materialises, it transitions to an issue here, with a cross-reference back to its risk identifier.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Linked WBS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Linked 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I-001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Existing-conditions documentation accuracy verification — confirm client’s digitised plant records against field walkdown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(Charter Assumption 1)</w:t>
            </w:r>
          </w:p>
        </w:tc>
        <w:tc>
          <w:p>
            <w:pPr>
              <w:pStyle w:val="Compact"/>
              <w:jc w:val="left"/>
            </w:pPr>
            <w:r>
              <w:t xml:space="preserve">Week 3 — records confirmed accurate; one ambiguity resolved by field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I-002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Furnace OEM delivery lead time at PO acceptance — confirm against bid assumption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Procurement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R4 (charter §8)</w:t>
            </w:r>
          </w:p>
        </w:tc>
        <w:tc>
          <w:p>
            <w:pPr>
              <w:pStyle w:val="Compact"/>
              <w:jc w:val="left"/>
            </w:pPr>
            <w:r>
              <w:t xml:space="preserve">Week 4 — vendor confirmed 14 weeks ex-works on PO acceptance, slightly better than bid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I-003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Subcontractor selection for mechanical, electrical, I&amp;C packages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14 — all three subcontracts awarded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I-004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Lead Controls Engineer assignment for SCADA architecture (WBS 2.5)</w:t>
            </w:r>
          </w:p>
        </w:tc>
        <w:tc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2 — assigned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I-005</w:t>
            </w:r>
          </w:p>
        </w:tc>
        <w:tc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p>
            <w:pPr>
              <w:pStyle w:val="Compact"/>
              <w:jc w:val="left"/>
            </w:pPr>
            <w:r>
              <w:t xml:space="preserve">Asbestos and lead-paint survey scope clarification with client</w:t>
            </w:r>
          </w:p>
        </w:tc>
        <w:tc>
          <w:p>
            <w:pPr>
              <w:pStyle w:val="Compact"/>
              <w:jc w:val="left"/>
            </w:pPr>
            <w:r>
              <w:t xml:space="preserve">Quality / Regulatory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QA/QC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5 — survey completed; abatement contractor scope agreed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I-006</w:t>
            </w:r>
          </w:p>
        </w:tc>
        <w:tc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p>
            <w:pPr>
              <w:pStyle w:val="Compact"/>
              <w:jc w:val="left"/>
            </w:pPr>
            <w:r>
              <w:t xml:space="preserve">Client Line C SCADA documentation access — required for integration design</w:t>
            </w:r>
          </w:p>
        </w:tc>
        <w:tc>
          <w:p>
            <w:pPr>
              <w:pStyle w:val="Compact"/>
              <w:jc w:val="left"/>
            </w:pPr>
            <w:r>
              <w:t xml:space="preserve">Technical / Stakeholder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Lead Controls Engineer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R3 (charter §8)</w:t>
            </w:r>
          </w:p>
        </w:tc>
        <w:tc>
          <w:p>
            <w:pPr>
              <w:pStyle w:val="Compact"/>
              <w:jc w:val="left"/>
            </w:pPr>
            <w:r>
              <w:t xml:space="preserve">Week 5 — client provided access; documentation completeness sufficient for integration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I-007</w:t>
            </w:r>
          </w:p>
        </w:tc>
        <w:tc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p>
            <w:pPr>
              <w:pStyle w:val="Compact"/>
              <w:jc w:val="left"/>
            </w:pPr>
            <w:r>
              <w:t xml:space="preserve">State regulator engineer assignment pending permit issuance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PM with QA/QC support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12 — officer assigned at permit issuance; first monthly compliance call Week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I-008</w:t>
            </w:r>
          </w:p>
        </w:tc>
        <w:tc>
          <w:p>
            <w:pPr>
              <w:pStyle w:val="Compact"/>
              <w:jc w:val="left"/>
            </w:pPr>
            <w:r>
              <w:t xml:space="preserve">Week 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Latent defect 1: undocumented hot-metal transfer piping discovered behind Furnace Line A refractory during demolition</w:t>
            </w:r>
          </w:p>
        </w:tc>
        <w:tc>
          <w:p>
            <w:pPr>
              <w:pStyle w:val="Compact"/>
              <w:jc w:val="left"/>
            </w:pPr>
            <w:r>
              <w:t xml:space="preserve">Technical / Commercial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PM with 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R1 materialised</w:t>
            </w:r>
          </w:p>
        </w:tc>
        <w:tc>
          <w:p>
            <w:pPr>
              <w:pStyle w:val="Compact"/>
              <w:jc w:val="left"/>
            </w:pPr>
            <w:r>
              <w:t xml:space="preserve">Week 18 — engineering decision to bypass and re-route; T&amp;M variation request approved by client at agreed cost-share; net cost impact $180k of which client cost-share $130k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I-009</w:t>
            </w:r>
          </w:p>
        </w:tc>
        <w:tc>
          <w:p>
            <w:pPr>
              <w:pStyle w:val="Compact"/>
              <w:jc w:val="left"/>
            </w:pPr>
            <w:r>
              <w:t xml:space="preserve">Week 17</w:t>
            </w:r>
          </w:p>
        </w:tc>
        <w:tc>
          <w:p>
            <w:pPr>
              <w:pStyle w:val="Compact"/>
              <w:jc w:val="left"/>
            </w:pPr>
            <w:r>
              <w:t xml:space="preserve">Refractory dry-out procedure clarification — OEM-specified procedure differs from Northwood standard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 with OEM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18 — OEM-specified procedure adopted; dry-out scheduled for Week 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I-010</w:t>
            </w:r>
          </w:p>
        </w:tc>
        <w:tc>
          <w:p>
            <w:pPr>
              <w:pStyle w:val="Compact"/>
              <w:jc w:val="left"/>
            </w:pPr>
            <w:r>
              <w:t xml:space="preserve">Week 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Latent defect 2: foundation settlement anomaly in Furnace Line B footprint</w:t>
            </w:r>
          </w:p>
        </w:tc>
        <w:tc>
          <w:p>
            <w:pPr>
              <w:pStyle w:val="Compact"/>
              <w:jc w:val="left"/>
            </w:pPr>
            <w:r>
              <w:t xml:space="preserve">Technical / Schedule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PM with 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R1 materialised</w:t>
            </w:r>
          </w:p>
        </w:tc>
        <w:tc>
          <w:p>
            <w:pPr>
              <w:pStyle w:val="Compact"/>
              <w:jc w:val="left"/>
            </w:pPr>
            <w:r>
              <w:t xml:space="preserve">Week 22 — geotechnical investigation; remedial piling required; T&amp;M variation request approved by client at agreed cost-share; net cost impact $245k of which client cost-share $180k; 2-week schedule impact absorbed within float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I-011</w:t>
            </w:r>
          </w:p>
        </w:tc>
        <w:tc>
          <w:p>
            <w:pPr>
              <w:pStyle w:val="Compact"/>
              <w:jc w:val="left"/>
            </w:pPr>
            <w:r>
              <w:t xml:space="preserve">Week 24</w:t>
            </w:r>
          </w:p>
        </w:tc>
        <w:tc>
          <w:p>
            <w:pPr>
              <w:pStyle w:val="Compact"/>
              <w:jc w:val="left"/>
            </w:pPr>
            <w:r>
              <w:t xml:space="preserve">Plant Superintendent shutdown window confirmation — final 7-day window timing</w:t>
            </w:r>
          </w:p>
        </w:tc>
        <w:tc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R2 (charter §8)</w:t>
            </w:r>
          </w:p>
        </w:tc>
        <w:tc>
          <w:p>
            <w:pPr>
              <w:pStyle w:val="Compact"/>
              <w:jc w:val="left"/>
            </w:pPr>
            <w:r>
              <w:t xml:space="preserve">Week 26 — window confirmed 15-22 June year+1; client production plan 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I-012</w:t>
            </w:r>
          </w:p>
        </w:tc>
        <w:tc>
          <w:p>
            <w:pPr>
              <w:pStyle w:val="Compact"/>
              <w:jc w:val="left"/>
            </w:pPr>
            <w:r>
              <w:t xml:space="preserve">Week 28</w:t>
            </w:r>
          </w:p>
        </w:tc>
        <w:tc>
          <w:p>
            <w:pPr>
              <w:pStyle w:val="Compact"/>
              <w:jc w:val="left"/>
            </w:pPr>
            <w:r>
              <w:t xml:space="preserve">Permitting authority dust control conditions clarification — interpretation of Rule 27 dust limits during demolition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QA/QC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4.3, 6.1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30 — written interpretation received; dust suppression measures specified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I-013</w:t>
            </w:r>
          </w:p>
        </w:tc>
        <w:tc>
          <w:p>
            <w:pPr>
              <w:pStyle w:val="Compact"/>
              <w:jc w:val="left"/>
            </w:pPr>
            <w:r>
              <w:t xml:space="preserve">Week 32</w:t>
            </w:r>
          </w:p>
        </w:tc>
        <w:tc>
          <w:p>
            <w:pPr>
              <w:pStyle w:val="Compact"/>
              <w:jc w:val="left"/>
            </w:pPr>
            <w:r>
              <w:t xml:space="preserve">State regulator inspector availability for performance test — booking window</w:t>
            </w:r>
          </w:p>
        </w:tc>
        <w:tc>
          <w:p>
            <w:pPr>
              <w:pStyle w:val="Compact"/>
              <w:jc w:val="left"/>
            </w:pPr>
            <w:r>
              <w:t xml:space="preserve">Schedule / Regulatory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36 — inspector booked for Week 47; pre-test procedure agreement initiated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I-014</w:t>
            </w:r>
          </w:p>
        </w:tc>
        <w:tc>
          <w:p>
            <w:pPr>
              <w:pStyle w:val="Compact"/>
              <w:jc w:val="left"/>
            </w:pPr>
            <w:r>
              <w:t xml:space="preserve">Week 35</w:t>
            </w:r>
          </w:p>
        </w:tc>
        <w:tc>
          <w:p>
            <w:pPr>
              <w:pStyle w:val="Compact"/>
              <w:jc w:val="left"/>
            </w:pPr>
            <w:r>
              <w:t xml:space="preserve">Operator training schedule alignment with client shift patterns</w:t>
            </w:r>
          </w:p>
        </w:tc>
        <w:tc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 with Client Plant Engineer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38 — training scheduled across three shifts; client backfill arranged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I-015</w:t>
            </w:r>
          </w:p>
        </w:tc>
        <w:tc>
          <w:p>
            <w:pPr>
              <w:pStyle w:val="Compact"/>
              <w:jc w:val="left"/>
            </w:pPr>
            <w:r>
              <w:t xml:space="preserve">Week 41</w:t>
            </w:r>
          </w:p>
        </w:tc>
        <w:tc>
          <w:p>
            <w:pPr>
              <w:pStyle w:val="Compact"/>
              <w:jc w:val="left"/>
            </w:pPr>
            <w:r>
              <w:t xml:space="preserve">Refractory dry-out — minor temperature deviation in early hours of dry-out cycle on Furnace Line A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 with OEM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41 — corrected within OEM tolerance; no impact on commissioning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I-016</w:t>
            </w:r>
          </w:p>
        </w:tc>
        <w:tc>
          <w:p>
            <w:pPr>
              <w:pStyle w:val="Compact"/>
              <w:jc w:val="left"/>
            </w:pPr>
            <w:r>
              <w:t xml:space="preserve">Week 43</w:t>
            </w:r>
          </w:p>
        </w:tc>
        <w:tc>
          <w:p>
            <w:pPr>
              <w:pStyle w:val="Compact"/>
              <w:jc w:val="left"/>
            </w:pPr>
            <w:r>
              <w:t xml:space="preserve">Hot commissioning Furnace Line A — first-heat off-gas temperature higher than design by 8%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 with OEM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44 — OEM root cause: refractory geometry on hooding; field modification completed; off-gas within tolerance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I-017</w:t>
            </w:r>
          </w:p>
        </w:tc>
        <w:tc>
          <w:p>
            <w:pPr>
              <w:pStyle w:val="Compact"/>
              <w:jc w:val="left"/>
            </w:pPr>
            <w:r>
              <w:t xml:space="preserve">Week 45</w:t>
            </w:r>
          </w:p>
        </w:tc>
        <w:tc>
          <w:p>
            <w:pPr>
              <w:pStyle w:val="Compact"/>
              <w:jc w:val="left"/>
            </w:pPr>
            <w:r>
              <w:t xml:space="preserve">SCADA-Line-C integration intermittent data dropout during commissioning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Lead Controls Engineer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R3 materialised</w:t>
            </w:r>
          </w:p>
        </w:tc>
        <w:tc>
          <w:p>
            <w:pPr>
              <w:pStyle w:val="Compact"/>
              <w:jc w:val="left"/>
            </w:pPr>
            <w:r>
              <w:t xml:space="preserve">Week 46 — network configuration issue at gateway; client IT and Northwood Controls jointly resolved; integration stable for tie-in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I-018</w:t>
            </w:r>
          </w:p>
        </w:tc>
        <w:tc>
          <w:p>
            <w:pPr>
              <w:pStyle w:val="Compact"/>
              <w:jc w:val="left"/>
            </w:pPr>
            <w:r>
              <w:t xml:space="preserve">Week 47</w:t>
            </w:r>
          </w:p>
        </w:tc>
        <w:tc>
          <w:p>
            <w:pPr>
              <w:pStyle w:val="Compact"/>
              <w:jc w:val="left"/>
            </w:pPr>
            <w:r>
              <w:t xml:space="preserve">Tie-in week execution — minor schedule pressure on Day 5 (electrical connection sequence delay)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47 — recovered through overtime; Day 7 tie-in completed on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I-019</w:t>
            </w:r>
          </w:p>
        </w:tc>
        <w:tc>
          <w:p>
            <w:pPr>
              <w:pStyle w:val="Compact"/>
              <w:jc w:val="left"/>
            </w:pPr>
            <w:r>
              <w:t xml:space="preserve">Week 48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 Day 3 — production rate variance against target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 with OEM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48 — variance traced to feed-rate calibration; corrected; test continued without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I-020</w:t>
            </w:r>
          </w:p>
        </w:tc>
        <w:tc>
          <w:p>
            <w:pPr>
              <w:pStyle w:val="Compact"/>
              <w:jc w:val="left"/>
            </w:pPr>
            <w:r>
              <w:t xml:space="preserve">Week 49</w:t>
            </w:r>
          </w:p>
        </w:tc>
        <w:tc>
          <w:p>
            <w:pPr>
              <w:pStyle w:val="Compact"/>
              <w:jc w:val="left"/>
            </w:pPr>
            <w:r>
              <w:t xml:space="preserve">Punch list — 14 items at Mechanical Completion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51 — all items closed within 14 days of 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I-021</w:t>
            </w:r>
          </w:p>
        </w:tc>
        <w:tc>
          <w:p>
            <w:pPr>
              <w:pStyle w:val="Compact"/>
              <w:jc w:val="left"/>
            </w:pPr>
            <w:r>
              <w:t xml:space="preserve">Week 50</w:t>
            </w:r>
          </w:p>
        </w:tc>
        <w:tc>
          <w:p>
            <w:pPr>
              <w:pStyle w:val="Compact"/>
              <w:jc w:val="left"/>
            </w:pPr>
            <w:r>
              <w:t xml:space="preserve">Spare parts list completeness — three items deferred from initial vendor scope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Procurement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51 — items added to handover dossier; warranty cover extended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I-022</w:t>
            </w:r>
          </w:p>
        </w:tc>
        <w:tc>
          <w:p>
            <w:pPr>
              <w:pStyle w:val="Compact"/>
              <w:jc w:val="left"/>
            </w:pPr>
            <w:r>
              <w:t xml:space="preserve">Week 51</w:t>
            </w:r>
          </w:p>
        </w:tc>
        <w:tc>
          <w:p>
            <w:pPr>
              <w:pStyle w:val="Compact"/>
              <w:jc w:val="left"/>
            </w:pPr>
            <w:r>
              <w:t xml:space="preserve">As-built documentation site concurrence — two as-built drawings flagged for site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Week 52 — verification complete; documentation handover finalised</w:t>
            </w:r>
          </w:p>
        </w:tc>
      </w:tr>
    </w:tbl>
    <w:p>
      <w:pPr>
        <w:pStyle w:val="BodyText"/>
      </w:pPr>
      <w:r>
        <w:t xml:space="preserve">The log contains 22 issues across 52 weeks of project execution. Open at peak: 4 issues simultaneously (Weeks 16-19, during the latent-defect phase). The two High-severity issues (I-008, I-010) were both materialisations of charter risk R1 (latent defects in 35-year-old facility) and were resolved through the T&amp;M variation mechanism per charter §11 governance.</w:t>
      </w:r>
    </w:p>
    <w:p>
      <w:pPr>
        <w:pStyle w:val="Heading2"/>
      </w:pPr>
      <w:bookmarkStart w:id="23" w:name="issue-dictionary-significant-issues"/>
      <w:r>
        <w:t xml:space="preserve">3. Issue dictionary — significant issues</w:t>
      </w:r>
      <w:bookmarkEnd w:id="23"/>
    </w:p>
    <w:p>
      <w:pPr>
        <w:pStyle w:val="FirstParagraph"/>
      </w:pPr>
      <w:r>
        <w:t xml:space="preserve">Dictionary entries are provided here for the issues that materially affected commercial outcome, schedule, or required formal escalation. Trivial issues (L-severity, single-team resolution) are tracked in the log without dictionary entries.</w:t>
      </w:r>
    </w:p>
    <w:p>
      <w:pPr>
        <w:pStyle w:val="BodyText"/>
      </w:pPr>
      <w:r>
        <w:rPr>
          <w:b/>
        </w:rPr>
        <w:t xml:space="preserve">I-008 — Latent defect 1: undocumented hot-metal transfer piping (Week 16).</w:t>
      </w:r>
      <w:r>
        <w:t xml:space="preserve"> </w:t>
      </w:r>
      <w:r>
        <w:rPr>
          <w:i/>
        </w:rPr>
        <w:t xml:space="preserve">Discovery context:</w:t>
      </w:r>
      <w:r>
        <w:t xml:space="preserve"> </w:t>
      </w:r>
      <w:r>
        <w:t xml:space="preserve">During Furnace Line A refractory demolition, an undocumented hot-metal transfer pipe was found embedded behind the refractory wall. The pipe served a historical casting bay that had been decommissioned twenty years earlier but never removed.</w:t>
      </w:r>
      <w:r>
        <w:t xml:space="preserve"> </w:t>
      </w:r>
      <w:r>
        <w:rPr>
          <w:i/>
        </w:rPr>
        <w:t xml:space="preserve">Engineering response:</w:t>
      </w:r>
      <w:r>
        <w:t xml:space="preserve"> </w:t>
      </w:r>
      <w:r>
        <w:t xml:space="preserve">Northwood engineering team reviewed pipe routing against existing drawings; pipe was confirmed not in current service but presented a demolition-method risk if breached during removal. Decision: bypass-and-reroute removal sequence approved; specialist demolition contractor brought in for safe extraction.</w:t>
      </w:r>
      <w:r>
        <w:t xml:space="preserve"> </w:t>
      </w:r>
      <w:r>
        <w:rPr>
          <w:i/>
        </w:rPr>
        <w:t xml:space="preserve">Commercial resolution:</w:t>
      </w:r>
      <w:r>
        <w:t xml:space="preserve"> </w:t>
      </w:r>
      <w:r>
        <w:t xml:space="preserve">T&amp;M variation request submitted to client per WBS 4.6 procedure; cost-share threshold per contract Schedule 3 invoked; client cost-share $130k of $180k total.</w:t>
      </w:r>
      <w:r>
        <w:t xml:space="preserve"> </w:t>
      </w:r>
      <w:r>
        <w:rPr>
          <w:i/>
        </w:rPr>
        <w:t xml:space="preserve">Lesson learned:</w:t>
      </w:r>
      <w:r>
        <w:t xml:space="preserve"> </w:t>
      </w:r>
      <w:r>
        <w:t xml:space="preserve">Even with client’s digitised records (Charter Assumption 1), 35-year-old industrial facilities carry undocumented infrastructure; future Northwood industrial-refurbishment proposals will price latent-defect contingency at 2-3% of contract value above standard, distinct from general contingency.</w:t>
      </w:r>
    </w:p>
    <w:p>
      <w:pPr>
        <w:pStyle w:val="BodyText"/>
      </w:pPr>
      <w:r>
        <w:rPr>
          <w:b/>
        </w:rPr>
        <w:t xml:space="preserve">I-010 — Latent defect 2: foundation settlement anomaly (Week 19).</w:t>
      </w:r>
      <w:r>
        <w:t xml:space="preserve"> </w:t>
      </w:r>
      <w:r>
        <w:rPr>
          <w:i/>
        </w:rPr>
        <w:t xml:space="preserve">Discovery context:</w:t>
      </w:r>
      <w:r>
        <w:t xml:space="preserve"> </w:t>
      </w:r>
      <w:r>
        <w:t xml:space="preserve">During preparation of Furnace Line B footprint after demolition, geotechnical settlement readings indicated soil bearing capacity below the original design assumption in the south-west quadrant of the footprint.</w:t>
      </w:r>
      <w:r>
        <w:t xml:space="preserve"> </w:t>
      </w:r>
      <w:r>
        <w:rPr>
          <w:i/>
        </w:rPr>
        <w:t xml:space="preserve">Engineering response:</w:t>
      </w:r>
      <w:r>
        <w:t xml:space="preserve"> </w:t>
      </w:r>
      <w:r>
        <w:t xml:space="preserve">Soil investigation extended; remedial piling specified to support the new furnace foundation; engineering rework on Furnace Line B foundation design (WBS 2.7) completed in 8 working days.</w:t>
      </w:r>
      <w:r>
        <w:t xml:space="preserve"> </w:t>
      </w:r>
      <w:r>
        <w:rPr>
          <w:i/>
        </w:rPr>
        <w:t xml:space="preserve">Schedule resolution:</w:t>
      </w:r>
      <w:r>
        <w:t xml:space="preserve"> </w:t>
      </w:r>
      <w:r>
        <w:t xml:space="preserve">2-week impact on Line B foundation completion absorbed within the schedule float that the parallel work on Line A and ancillaries provided.</w:t>
      </w:r>
      <w:r>
        <w:t xml:space="preserve"> </w:t>
      </w:r>
      <w:r>
        <w:rPr>
          <w:i/>
        </w:rPr>
        <w:t xml:space="preserve">Commercial resolution:</w:t>
      </w:r>
      <w:r>
        <w:t xml:space="preserve"> </w:t>
      </w:r>
      <w:r>
        <w:t xml:space="preserve">T&amp;M variation request submitted; client cost-share $180k of $245k total.</w:t>
      </w:r>
      <w:r>
        <w:t xml:space="preserve"> </w:t>
      </w:r>
      <w:r>
        <w:rPr>
          <w:i/>
        </w:rPr>
        <w:t xml:space="preserve">Lesson learned:</w:t>
      </w:r>
      <w:r>
        <w:t xml:space="preserve"> </w:t>
      </w:r>
      <w:r>
        <w:t xml:space="preserve">For brownfield industrial sites, geotechnical investigation depth and grid density should exceed greenfield standards; updated Northwood standard for industrial brownfield projects now specifies 1.5× standard geotechnical scope.</w:t>
      </w:r>
    </w:p>
    <w:p>
      <w:pPr>
        <w:pStyle w:val="BodyText"/>
      </w:pPr>
      <w:r>
        <w:rPr>
          <w:b/>
        </w:rPr>
        <w:t xml:space="preserve">I-006 — Client Line C SCADA documentation access (Week 3).</w:t>
      </w:r>
      <w:r>
        <w:t xml:space="preserve"> </w:t>
      </w:r>
      <w:r>
        <w:rPr>
          <w:i/>
        </w:rPr>
        <w:t xml:space="preserve">Discovery context:</w:t>
      </w:r>
      <w:r>
        <w:t xml:space="preserve"> </w:t>
      </w:r>
      <w:r>
        <w:t xml:space="preserve">Lead Controls Engineer (WBS 2.5 owner) required documentation of the existing Line C SCADA system to design the data-sharing integration for the new SCADA per WBS 7.4. Initial client response indicated documentation might be incomplete for a system originally installed by a defunct integrator.</w:t>
      </w:r>
      <w:r>
        <w:t xml:space="preserve"> </w:t>
      </w:r>
      <w:r>
        <w:rPr>
          <w:i/>
        </w:rPr>
        <w:t xml:space="preserve">Resolution:</w:t>
      </w:r>
      <w:r>
        <w:t xml:space="preserve"> </w:t>
      </w:r>
      <w:r>
        <w:t xml:space="preserve">Joint Northwood-client investigation surfaced a backup documentation set held by the client’s IT group that was sufficient for the integration design.</w:t>
      </w:r>
      <w:r>
        <w:t xml:space="preserve"> </w:t>
      </w:r>
      <w:r>
        <w:rPr>
          <w:i/>
        </w:rPr>
        <w:t xml:space="preserve">Lesson learned:</w:t>
      </w:r>
      <w:r>
        <w:t xml:space="preserve"> </w:t>
      </w:r>
      <w:r>
        <w:t xml:space="preserve">For projects integrating with legacy client systems, documentation availability should be confirmed at proposal stage, not at Week 3 of execution; updated proposal-stage diligence checklist now includes legacy-system documentation availability.</w:t>
      </w:r>
    </w:p>
    <w:p>
      <w:pPr>
        <w:pStyle w:val="BodyText"/>
      </w:pPr>
      <w:r>
        <w:rPr>
          <w:b/>
        </w:rPr>
        <w:t xml:space="preserve">I-017 — SCADA-Line-C integration intermittent dropout (Week 45).</w:t>
      </w:r>
      <w:r>
        <w:t xml:space="preserve"> </w:t>
      </w:r>
      <w:r>
        <w:rPr>
          <w:i/>
        </w:rPr>
        <w:t xml:space="preserve">Discovery context:</w:t>
      </w:r>
      <w:r>
        <w:t xml:space="preserve"> </w:t>
      </w:r>
      <w:r>
        <w:t xml:space="preserve">During commissioning of the SCADA integration, intermittent data dropouts between new and existing SCADA were observed under specific load conditions.</w:t>
      </w:r>
      <w:r>
        <w:t xml:space="preserve"> </w:t>
      </w:r>
      <w:r>
        <w:rPr>
          <w:i/>
        </w:rPr>
        <w:t xml:space="preserve">Resolution:</w:t>
      </w:r>
      <w:r>
        <w:t xml:space="preserve"> </w:t>
      </w:r>
      <w:r>
        <w:t xml:space="preserve">Joint Northwood Controls and client IT troubleshooting identified a gateway configuration mismatch; reconfiguration resolved the dropout.</w:t>
      </w:r>
      <w:r>
        <w:t xml:space="preserve"> </w:t>
      </w:r>
      <w:r>
        <w:rPr>
          <w:i/>
        </w:rPr>
        <w:t xml:space="preserve">Linkage:</w:t>
      </w:r>
      <w:r>
        <w:t xml:space="preserve"> </w:t>
      </w:r>
      <w:r>
        <w:t xml:space="preserve">Risk R3 (SCADA integration with Line C — highest-risk integration point per WBS 7.4) materialised here; the standing mitigation (no operational control coupling; data-sharing only) limited the operational impact.</w:t>
      </w:r>
      <w:r>
        <w:t xml:space="preserve"> </w:t>
      </w:r>
      <w:r>
        <w:rPr>
          <w:i/>
        </w:rPr>
        <w:t xml:space="preserve">Lesson learned:</w:t>
      </w:r>
      <w:r>
        <w:t xml:space="preserve"> </w:t>
      </w:r>
      <w:r>
        <w:t xml:space="preserve">Integration testing protocols should include load-varied scenarios from the earliest test phase, not only steady-state verification.</w:t>
      </w:r>
    </w:p>
    <w:p>
      <w:pPr>
        <w:pStyle w:val="Heading2"/>
      </w:pPr>
      <w:bookmarkStart w:id="24" w:name="issue-categorisation-conventions"/>
      <w:r>
        <w:t xml:space="preserve">4. Issue categorisation conventions</w:t>
      </w:r>
      <w:bookmarkEnd w:id="24"/>
    </w:p>
    <w:p>
      <w:pPr>
        <w:pStyle w:val="FirstParagraph"/>
      </w:pPr>
      <w:r>
        <w:t xml:space="preserve">Eight categories are used. Each issue belongs to exactly one primary category; secondary categorisation is permitted via slash notation (e.g.,</w:t>
      </w:r>
      <w:r>
        <w:t xml:space="preserve"> </w:t>
      </w:r>
      <w:r>
        <w:t xml:space="preserve">“</w:t>
      </w:r>
      <w:r>
        <w:t xml:space="preserve">Technical / Commercial</w:t>
      </w:r>
      <w:r>
        <w:t xml:space="preserve">”</w:t>
      </w:r>
      <w:r>
        <w:t xml:space="preserve"> </w:t>
      </w:r>
      <w:r>
        <w:t xml:space="preserve">for the latent defects, which were both technical discoveries and commercial events).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Technical</w:t>
      </w:r>
      <w:r>
        <w:t xml:space="preserve"> </w:t>
      </w:r>
      <w:r>
        <w:t xml:space="preserve">— engineering, design, or technology issues.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</w:t>
      </w:r>
      <w:r>
        <w:t xml:space="preserve"> </w:t>
      </w:r>
      <w:r>
        <w:t xml:space="preserve">— issues affecting milestone dates, sequence, or float.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</w:t>
      </w:r>
      <w:r>
        <w:t xml:space="preserve"> </w:t>
      </w:r>
      <w:r>
        <w:t xml:space="preserve">— issues affecting budget, cost-to-complete, or contingency consumption (distinct from Commercial — Cost issues are internal to Northwood; Commercial issues touch the contract).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Commercial</w:t>
      </w:r>
      <w:r>
        <w:t xml:space="preserve"> </w:t>
      </w:r>
      <w:r>
        <w:t xml:space="preserve">— issues affecting the contract — change orders, variations, claims, payment timing.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Regulatory</w:t>
      </w:r>
      <w:r>
        <w:t xml:space="preserve"> </w:t>
      </w:r>
      <w:r>
        <w:t xml:space="preserve">— issues with regulators, permits, compliance — federal, state, local.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Safety</w:t>
      </w:r>
      <w:r>
        <w:t xml:space="preserve"> </w:t>
      </w:r>
      <w:r>
        <w:t xml:space="preserve">— issues affecting site safety, OSHA reporting, near-misses, lost-time events.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</w:t>
      </w:r>
      <w:r>
        <w:t xml:space="preserve"> </w:t>
      </w:r>
      <w:r>
        <w:t xml:space="preserve">— issues affecting quality of delivered work, ITP failures, non-conformances, punch items.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Stakeholder</w:t>
      </w:r>
      <w:r>
        <w:t xml:space="preserve"> </w:t>
      </w:r>
      <w:r>
        <w:t xml:space="preserve">— issues with people: assignments pending, client interface friction, subcontractor performance below expectation.</w:t>
      </w:r>
    </w:p>
    <w:p>
      <w:pPr>
        <w:pStyle w:val="FirstParagraph"/>
      </w:pPr>
      <w:r>
        <w:t xml:space="preserve">Severity is graded L/M/H per Northwood standard. H-severity issues require immediate PM-Director escalation (per Communications Plan §4); M-severity issues are tracked weekly in the internal status meeting; L-severity issues are owner-resolved without escalation.</w:t>
      </w:r>
    </w:p>
    <w:p>
      <w:pPr>
        <w:pStyle w:val="Heading2"/>
      </w:pPr>
      <w:bookmarkStart w:id="25" w:name="lifecycle-states"/>
      <w:r>
        <w:t xml:space="preserve">5. Lifecycle states</w:t>
      </w:r>
      <w:bookmarkEnd w:id="25"/>
    </w:p>
    <w:p>
      <w:pPr>
        <w:pStyle w:val="FirstParagraph"/>
      </w:pPr>
      <w:r>
        <w:t xml:space="preserve">Issues progress through four states. Transitions are explicit and logged.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</w:t>
      </w:r>
      <w:r>
        <w:t xml:space="preserve"> </w:t>
      </w:r>
      <w:r>
        <w:t xml:space="preserve">— issue identified, owner assigned, no resolution path defined yet.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 progress</w:t>
      </w:r>
      <w:r>
        <w:t xml:space="preserve"> </w:t>
      </w:r>
      <w:r>
        <w:t xml:space="preserve">— owner is actively working on resolution; resolution path defined.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Resolved</w:t>
      </w:r>
      <w:r>
        <w:t xml:space="preserve"> </w:t>
      </w:r>
      <w:r>
        <w:t xml:space="preserve">— corrective action complete; awaiting verification.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Closed</w:t>
      </w:r>
      <w:r>
        <w:t xml:space="preserve"> </w:t>
      </w:r>
      <w:r>
        <w:t xml:space="preserve">— resolution verified; issue removed from active register but remains in log for audit.</w:t>
      </w:r>
    </w:p>
    <w:p>
      <w:pPr>
        <w:pStyle w:val="FirstParagraph"/>
      </w:pPr>
      <w:r>
        <w:t xml:space="preserve">Issues remain in the log permanently — closure does not delete. The log is append-only with state transitions; this is the discipline that makes the log auditable at closeout and useful as a lessons-learned input.</w:t>
      </w:r>
    </w:p>
    <w:p>
      <w:pPr>
        <w:pStyle w:val="Heading2"/>
      </w:pPr>
      <w:bookmarkStart w:id="26" w:name="linkage-to-other-registers"/>
      <w:r>
        <w:t xml:space="preserve">6. Linkage to other registers</w:t>
      </w:r>
      <w:bookmarkEnd w:id="26"/>
    </w:p>
    <w:p>
      <w:pPr>
        <w:pStyle w:val="FirstParagraph"/>
      </w:pPr>
      <w:r>
        <w:t xml:space="preserve">The issue log cross-references three other project artefacts: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Risk register (</w:t>
      </w:r>
      <w:r>
        <w:rPr>
          <w:rStyle w:val="VerbatimChar"/>
          <w:b/>
        </w:rPr>
        <w:t xml:space="preserve">04_risk_register.md</w:t>
      </w:r>
      <w:r>
        <w:rPr>
          <w:b/>
        </w:rPr>
        <w:t xml:space="preserve">).</w:t>
      </w:r>
      <w:r>
        <w:t xml:space="preserve"> </w:t>
      </w:r>
      <w:r>
        <w:t xml:space="preserve">When a risk materialises, it transitions to an issue in this log with the risk identifier in the Linked-risk column. Reverse-direction: when an issue surfaces a previously-unidentified risk, the risk register is updated with a back-reference to the issue. R1 and R3 both materialised on Ironvale; the linkages above show how.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 Breakdown Structure (</w:t>
      </w:r>
      <w:r>
        <w:rPr>
          <w:rStyle w:val="VerbatimChar"/>
          <w:b/>
        </w:rPr>
        <w:t xml:space="preserve">01c_wbs.md</w:t>
      </w:r>
      <w:r>
        <w:rPr>
          <w:b/>
        </w:rPr>
        <w:t xml:space="preserve">).</w:t>
      </w:r>
      <w:r>
        <w:t xml:space="preserve"> </w:t>
      </w:r>
      <w:r>
        <w:t xml:space="preserve">Every issue links to a WBS work package via the Linked-WBS column. This is the audit trail from issue to scope — useful for cost-allocation, for variance analysis, and for closeout reporting.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Change orders (separate change-order log).</w:t>
      </w:r>
      <w:r>
        <w:t xml:space="preserve"> </w:t>
      </w:r>
      <w:r>
        <w:t xml:space="preserve">Issues that result in formal change orders carry a Change-order reference in the dictionary entry. The latent-defect issues (I-008, I-010) both produced T&amp;M variation requests that flowed through the change-order log.</w:t>
      </w:r>
    </w:p>
    <w:p>
      <w:pPr>
        <w:pStyle w:val="Heading2"/>
      </w:pPr>
      <w:bookmarkStart w:id="27" w:name="conventions-used"/>
      <w:r>
        <w:t xml:space="preserve">7. Conventions used</w:t>
      </w:r>
      <w:bookmarkEnd w:id="27"/>
    </w:p>
    <w:p>
      <w:pPr>
        <w:pStyle w:val="FirstParagraph"/>
      </w:pPr>
      <w:r>
        <w:t xml:space="preserve">Five patterns this document follows, for traceability against the Northwood worked-example convention: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Issues are things that happened; risks are things that may happen.</w:t>
      </w:r>
      <w:r>
        <w:t xml:space="preserve"> </w:t>
      </w:r>
      <w:r>
        <w:t xml:space="preserve">The Risk Register is forward-looking; the Issue Log is backward-and-current looking. A risk that materialises transitions to an issue with cross-reference. This separation is non-trivial — combining the two creates a log that is neither useful for risk planning nor useful for issue audit.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Categorisation is single-primary with optional secondary slash.</w:t>
      </w:r>
      <w:r>
        <w:t xml:space="preserve"> </w:t>
      </w:r>
      <w:r>
        <w:t xml:space="preserve">Eight categories, each issue gets one primary category, optional second category after a slash where the issue genuinely spans two. Multi-categorisation discipline prevents the log from becoming an unstructured grab-bag.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Severity (L/M/H) drives escalation behaviour, not just labelling.</w:t>
      </w:r>
      <w:r>
        <w:t xml:space="preserve"> </w:t>
      </w:r>
      <w:r>
        <w:t xml:space="preserve">H-severity triggers immediate PM-Director escalation per the Communications Plan; M-severity triggers weekly attention; L-severity is owner-resolved. The grade carries operational meaning.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Dictionary entries only for material issues.</w:t>
      </w:r>
      <w:r>
        <w:t xml:space="preserve"> </w:t>
      </w:r>
      <w:r>
        <w:t xml:space="preserve">Not every L-severity issue needs a paragraph of context. The dictionary discipline is reserved for issues that materially affected commercial outcome, schedule, or required formal escalation — typically 5-10 entries on a project of this size, even if the log has 20-30 entries.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log is append-only; closure does not delete.</w:t>
      </w:r>
      <w:r>
        <w:t xml:space="preserve"> </w:t>
      </w:r>
      <w:r>
        <w:t xml:space="preserve">Closed issues remain in the log permanently. This is the discipline that makes the log auditable at closeout and useful as a lessons-learned input.</w:t>
      </w:r>
    </w:p>
    <w:p>
      <w:pPr>
        <w:pStyle w:val="Heading2"/>
      </w:pPr>
      <w:bookmarkStart w:id="28" w:name="notes-for-downstream-agents"/>
      <w:r>
        <w:t xml:space="preserve">8. Notes for downstream agents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 Reporter.</w:t>
      </w:r>
      <w:r>
        <w:t xml:space="preserve"> </w:t>
      </w:r>
      <w:r>
        <w:t xml:space="preserve">The Open and In-progress issues (typically 3-8 at any point in execution) feed the</w:t>
      </w:r>
      <w:r>
        <w:t xml:space="preserve"> </w:t>
      </w:r>
      <w:r>
        <w:t xml:space="preserve">“</w:t>
      </w:r>
      <w:r>
        <w:t xml:space="preserve">Issues</w:t>
      </w:r>
      <w:r>
        <w:t xml:space="preserve">”</w:t>
      </w:r>
      <w:r>
        <w:t xml:space="preserve"> </w:t>
      </w:r>
      <w:r>
        <w:t xml:space="preserve">section of the monthly status report. Closed issues are not reported individually but contribute to the cumulative-closed count. H-severity issues are always reported with disposition; M-severity issues are reported in summary; L-severity issues are reported by count only.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Variance Analyst.</w:t>
      </w:r>
      <w:r>
        <w:t xml:space="preserve"> </w:t>
      </w:r>
      <w:r>
        <w:t xml:space="preserve">Cost variance is tracked at the WBS-branch level (per Budget); issues with material cost impact (typically H-severity Cost or Commercial issues) link to their WBS branch and surface in the variance commentary. The two latent-defect issues on Ironvale (I-008, I-010) drove $425k of cost movement on Branch 4.0 — the variance commentary cross-referenced this log.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Change Order Reviewer.</w:t>
      </w:r>
      <w:r>
        <w:t xml:space="preserve"> </w:t>
      </w:r>
      <w:r>
        <w:t xml:space="preserve">Commercial-category issues that result in formal change orders flow into the change-order log via this register. The dictionary entry’s Commercial-resolution clause is the source material for the change-order analysis package.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Lessons-Learned Synthesiser.</w:t>
      </w:r>
      <w:r>
        <w:t xml:space="preserve"> </w:t>
      </w:r>
      <w:r>
        <w:t xml:space="preserve">At project close, the issue log’s dictionary entries are the primary input to the lessons-learned write-up. The</w:t>
      </w:r>
      <w:r>
        <w:t xml:space="preserve"> </w:t>
      </w:r>
      <w:r>
        <w:t xml:space="preserve">“</w:t>
      </w:r>
      <w:r>
        <w:t xml:space="preserve">Lesson learned</w:t>
      </w:r>
      <w:r>
        <w:t xml:space="preserve">”</w:t>
      </w:r>
      <w:r>
        <w:t xml:space="preserve"> </w:t>
      </w:r>
      <w:r>
        <w:t xml:space="preserve">clause in each dictionary entry is the seed; the synthesiser groups them by category and theme for the closeout report.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2026-05-23T21:33:00Z</dcterms:created>
  <dcterms:modified xsi:type="dcterms:W3CDTF">2026-05-23T21:33:00Z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