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76a107118d4b8d8496a7f8d2f5077708e8f48a"/>
      <w:r>
        <w:t xml:space="preserve">Lessons Learned Synthesis — Ironvale Smelter Modernisation (Closeout, Warranty Complete)</w:t>
      </w:r>
      <w:bookmarkEnd w:id="20"/>
    </w:p>
    <w:p>
      <w:pPr>
        <w:pStyle w:val="BlockText"/>
      </w:pPr>
      <w:r>
        <w:rPr>
          <w:b/>
        </w:rPr>
        <w:t xml:space="preserve">Note on this document’s role as a worked example.</w:t>
      </w:r>
      <w:r>
        <w:t xml:space="preserve"> </w:t>
      </w:r>
      <w:r>
        <w:t xml:space="preserve">This is the CLOSEOUT Lessons Learned Synthesis for Ironvale Smelter Modernisation, prepared at the close of the 12-month warranty period — the canonical Northwood lessons-learned artefact for industrial-brownfield refurbishment projects. The document synthesises the operational events tracked across the issue log, variance analyses, and change orders into firm-level lessons, project-specific lessons, and methodology updates that flow back into Northwood standard practice. When the Lessons-Learned Synthesiser agent uses this as a worked example for a new project, two adaptations apply. First, at a Week 0 baseline state, the agent produces the lessons-learned</w:t>
      </w:r>
      <w:r>
        <w:t xml:space="preserve"> </w:t>
      </w:r>
      <w:r>
        <w:rPr>
          <w:i/>
        </w:rPr>
        <w:t xml:space="preserve">framework</w:t>
      </w:r>
      <w:r>
        <w:t xml:space="preserve"> </w:t>
      </w:r>
      <w:r>
        <w:t xml:space="preserve">and a lessons-to-track list derived from the upstream issue log, risk register, and charter — not a populated synthesis of events that have not yet occurred. Second, items shown with inline italic annotations — recommendation adoption status (firm-level standard updates take 1–3 quarters to propagate), specific personnel reassignments, and projected downstream applications — would carry</w:t>
      </w:r>
      <w:r>
        <w:t xml:space="preserve"> </w:t>
      </w:r>
      <w:r>
        <w:rPr>
          <w:rStyle w:val="VerbatimChar"/>
        </w:rPr>
        <w:t xml:space="preserve">[NEEDS PM REVIEW]</w:t>
      </w:r>
      <w:r>
        <w:t xml:space="preserve"> </w:t>
      </w:r>
      <w:r>
        <w:t xml:space="preserve">flags at draft stage. The state shown here reflects the lessons committed at closeout and tracked through the first year of post-project Northwood practice updates.</w:t>
      </w:r>
    </w:p>
    <w:p>
      <w:pPr>
        <w:pStyle w:val="Heading2"/>
      </w:pPr>
      <w:bookmarkStart w:id="21" w:name="project-context-and-synthesis-scope"/>
      <w:r>
        <w:t xml:space="preserve">1. Project context and synthesis scope</w:t>
      </w:r>
      <w:bookmarkEnd w:id="21"/>
    </w:p>
    <w:p>
      <w:pPr>
        <w:numPr>
          <w:ilvl w:val="0"/>
          <w:numId w:val="1001"/>
        </w:numPr>
        <w:pStyle w:val="Compact"/>
      </w:pPr>
      <w:r>
        <w:rPr>
          <w:b/>
        </w:rPr>
        <w:t xml:space="preserve">Project:</w:t>
      </w:r>
      <w:r>
        <w:t xml:space="preserve"> </w:t>
      </w:r>
      <w:r>
        <w:t xml:space="preserve">Ironvale Smelter Modernisation (NW-IND-2110)</w:t>
      </w:r>
    </w:p>
    <w:p>
      <w:pPr>
        <w:numPr>
          <w:ilvl w:val="0"/>
          <w:numId w:val="1001"/>
        </w:numPr>
        <w:pStyle w:val="Compact"/>
      </w:pPr>
      <w:r>
        <w:rPr>
          <w:b/>
        </w:rPr>
        <w:t xml:space="preserve">Client:</w:t>
      </w:r>
      <w:r>
        <w:t xml:space="preserve"> </w:t>
      </w:r>
      <w:r>
        <w:t xml:space="preserve">Ironvale Metals Group</w:t>
      </w:r>
    </w:p>
    <w:p>
      <w:pPr>
        <w:numPr>
          <w:ilvl w:val="0"/>
          <w:numId w:val="1001"/>
        </w:numPr>
        <w:pStyle w:val="Compact"/>
      </w:pPr>
      <w:r>
        <w:rPr>
          <w:b/>
        </w:rPr>
        <w:t xml:space="preserve">Contract:</w:t>
      </w:r>
      <w:r>
        <w:t xml:space="preserve"> </w:t>
      </w:r>
      <w:r>
        <w:t xml:space="preserve">T&amp;M with $30M cap; closing value $26.5M (within cap)</w:t>
      </w:r>
    </w:p>
    <w:p>
      <w:pPr>
        <w:numPr>
          <w:ilvl w:val="0"/>
          <w:numId w:val="1001"/>
        </w:numPr>
        <w:pStyle w:val="Compact"/>
      </w:pPr>
      <w:r>
        <w:rPr>
          <w:b/>
        </w:rPr>
        <w:t xml:space="preserve">Duration:</w:t>
      </w:r>
      <w:r>
        <w:t xml:space="preserve"> </w:t>
      </w:r>
      <w:r>
        <w:t xml:space="preserve">11 months Award to Mechanical Completion + 12 months warranty</w:t>
      </w:r>
    </w:p>
    <w:p>
      <w:pPr>
        <w:numPr>
          <w:ilvl w:val="0"/>
          <w:numId w:val="1001"/>
        </w:numPr>
        <w:pStyle w:val="Compact"/>
      </w:pPr>
      <w:r>
        <w:rPr>
          <w:b/>
        </w:rPr>
        <w:t xml:space="preserve">Northwood PM:</w:t>
      </w:r>
      <w:r>
        <w:t xml:space="preserve"> </w:t>
      </w:r>
      <w:r>
        <w:t xml:space="preserve">P. Beaumont; Project Director: S. Friedman; Sponsor: VP Industrial</w:t>
      </w:r>
    </w:p>
    <w:p>
      <w:pPr>
        <w:numPr>
          <w:ilvl w:val="0"/>
          <w:numId w:val="1001"/>
        </w:numPr>
        <w:pStyle w:val="Compact"/>
      </w:pPr>
      <w:r>
        <w:rPr>
          <w:b/>
        </w:rPr>
        <w:t xml:space="preserve">Headline outcome:</w:t>
      </w:r>
      <w:r>
        <w:t xml:space="preserve"> </w:t>
      </w:r>
      <w:r>
        <w:t xml:space="preserve">Closed at 12.3% margin (against 10% bid margin — outperformed by 2.3 percentage points)</w:t>
      </w:r>
    </w:p>
    <w:p>
      <w:pPr>
        <w:numPr>
          <w:ilvl w:val="0"/>
          <w:numId w:val="1001"/>
        </w:numPr>
        <w:pStyle w:val="Compact"/>
      </w:pPr>
      <w:r>
        <w:rPr>
          <w:b/>
        </w:rPr>
        <w:t xml:space="preserve">Synthesis scope:</w:t>
      </w:r>
      <w:r>
        <w:t xml:space="preserve"> </w:t>
      </w:r>
      <w:r>
        <w:t xml:space="preserve">Closeout state — 22 issues tracked across the project, 2 H-severity events with full root-cause analysis (both latent defects), 2 T&amp;M variations approved by client cost-share, performance test passed first attempt, warranty period closed with no claims</w:t>
      </w:r>
    </w:p>
    <w:p>
      <w:pPr>
        <w:numPr>
          <w:ilvl w:val="0"/>
          <w:numId w:val="1001"/>
        </w:numPr>
        <w:pStyle w:val="Compact"/>
      </w:pPr>
      <w:r>
        <w:rPr>
          <w:b/>
        </w:rPr>
        <w:t xml:space="preserve">Synthesis date:</w:t>
      </w:r>
      <w:r>
        <w:t xml:space="preserve"> </w:t>
      </w:r>
      <w:r>
        <w:t xml:space="preserve">End of warranty period (14 months post-Mechanical Completion)</w:t>
      </w:r>
    </w:p>
    <w:p>
      <w:pPr>
        <w:numPr>
          <w:ilvl w:val="0"/>
          <w:numId w:val="1001"/>
        </w:numPr>
        <w:pStyle w:val="Compact"/>
      </w:pPr>
      <w:r>
        <w:rPr>
          <w:b/>
        </w:rPr>
        <w:t xml:space="preserve">Synthesis authors:</w:t>
      </w:r>
      <w:r>
        <w:t xml:space="preserve"> </w:t>
      </w:r>
      <w:r>
        <w:t xml:space="preserve">P. Beaumont (PM), S. Friedman (Project Director), with operational-lead inputs from QA/QC Lead, Construction Manager, Commercial Manager</w:t>
      </w:r>
    </w:p>
    <w:p>
      <w:pPr>
        <w:pStyle w:val="Heading2"/>
      </w:pPr>
      <w:bookmarkStart w:id="22" w:name="executive-summary"/>
      <w:r>
        <w:t xml:space="preserve">2. Executive summary</w:t>
      </w:r>
      <w:bookmarkEnd w:id="22"/>
    </w:p>
    <w:p>
      <w:pPr>
        <w:pStyle w:val="FirstParagraph"/>
      </w:pPr>
      <w:r>
        <w:t xml:space="preserve">Ironvale outperformed margin (12.3% vs 10% bid) on a project that absorbed two material latent-defect events and operated through a tight 7-day plant-shutdown window without exceeding it. Five lessons account for the outperformance and are the recommended Northwood standard-practice updates.</w:t>
      </w:r>
    </w:p>
    <w:p>
      <w:pPr>
        <w:pStyle w:val="BodyText"/>
      </w:pPr>
      <w:r>
        <w:rPr>
          <w:b/>
        </w:rPr>
        <w:t xml:space="preserve">Five headline lessons, in priority order for Northwood firm-level adoption:</w:t>
      </w:r>
    </w:p>
    <w:p>
      <w:pPr>
        <w:numPr>
          <w:ilvl w:val="0"/>
          <w:numId w:val="1002"/>
        </w:numPr>
        <w:pStyle w:val="Compact"/>
      </w:pPr>
      <w:r>
        <w:rPr>
          <w:b/>
        </w:rPr>
        <w:t xml:space="preserve">Single-sourced critical equipment is a category-level risk for the firm.</w:t>
      </w:r>
      <w:r>
        <w:t xml:space="preserve"> </w:t>
      </w:r>
      <w:r>
        <w:t xml:space="preserve">Latent-defect discoveries on Ironvale (two events absorbed within T&amp;M variation channel) were not the major commercial event; the OEM concentration would have been if it had materialised. Recommend Northwood policy update on single-sourced critical equipment for all industrial and renewables projects. [Firm-level adoption]</w:t>
      </w:r>
    </w:p>
    <w:p>
      <w:pPr>
        <w:numPr>
          <w:ilvl w:val="0"/>
          <w:numId w:val="1002"/>
        </w:numPr>
        <w:pStyle w:val="Compact"/>
      </w:pPr>
      <w:r>
        <w:rPr>
          <w:b/>
        </w:rPr>
        <w:t xml:space="preserve">Pre-project digitisation of client records pays off disproportionately on brownfield refurbishment.</w:t>
      </w:r>
      <w:r>
        <w:t xml:space="preserve"> </w:t>
      </w:r>
      <w:r>
        <w:t xml:space="preserve">Ironvale’s client had digitised plant records in the two years before the project; this single fact was the largest single contributor to the project’s outperformance. Recommend Northwood proposal-stage diligence specifically assess client-side records and price differently when records are weak. [Firm-level adoption]</w:t>
      </w:r>
    </w:p>
    <w:p>
      <w:pPr>
        <w:numPr>
          <w:ilvl w:val="0"/>
          <w:numId w:val="1002"/>
        </w:numPr>
        <w:pStyle w:val="Compact"/>
      </w:pPr>
      <w:r>
        <w:rPr>
          <w:b/>
        </w:rPr>
        <w:t xml:space="preserve">Embedded-client-engineer arrangements are decisive on brownfield projects.</w:t>
      </w:r>
      <w:r>
        <w:t xml:space="preserve"> </w:t>
      </w:r>
      <w:r>
        <w:t xml:space="preserve">T. Hartnett’s full-time embedment with the Northwood team eliminated most of the coordination friction that typically appears between Engineering 60% and Mechanical Completion. Recommend Northwood propose embedded-engineer arrangements as a contractual deliverable on brownfield refurbishment work above $20M. [Firm-level adoption]</w:t>
      </w:r>
    </w:p>
    <w:p>
      <w:pPr>
        <w:numPr>
          <w:ilvl w:val="0"/>
          <w:numId w:val="1002"/>
        </w:numPr>
        <w:pStyle w:val="Compact"/>
      </w:pPr>
      <w:r>
        <w:rPr>
          <w:b/>
        </w:rPr>
        <w:t xml:space="preserve">T&amp;M with cap is the right commercial structure when scope is engineering-discovery-sensitive.</w:t>
      </w:r>
      <w:r>
        <w:t xml:space="preserve"> </w:t>
      </w:r>
      <w:r>
        <w:t xml:space="preserve">Ironvale’s T&amp;M-with-cap structure allowed the latent-defect variations to be absorbed commercially without contract disputes. The cap protected the client; the T&amp;M structure protected Northwood. Recommend Northwood add T&amp;M-with-cap as a standard commercial-position option in industrial-brownfield proposals. [Firm-level adoption]</w:t>
      </w:r>
    </w:p>
    <w:p>
      <w:pPr>
        <w:numPr>
          <w:ilvl w:val="0"/>
          <w:numId w:val="1002"/>
        </w:numPr>
        <w:pStyle w:val="Compact"/>
      </w:pPr>
      <w:r>
        <w:rPr>
          <w:b/>
        </w:rPr>
        <w:t xml:space="preserve">Client-granted full plant shutdown for tie-ins is operationally non-negotiable on critical industrial integration.</w:t>
      </w:r>
      <w:r>
        <w:t xml:space="preserve"> </w:t>
      </w:r>
      <w:r>
        <w:t xml:space="preserve">The 7-day full shutdown window Ironvale’s client provided was tight but sufficient; the project would not have closed on schedule with anything less. Recommend Northwood treat full-shutdown-window provision as a charter §10 hard constraint on industrial integration work, with explicit refusal-criteria for projects where the window cannot be confirmed. [Firm-level adoption — most controversial]</w:t>
      </w:r>
    </w:p>
    <w:p>
      <w:pPr>
        <w:pStyle w:val="FirstParagraph"/>
      </w:pPr>
      <w:r>
        <w:t xml:space="preserve">These five lessons drive the §4 firm-level recommendations. The §5 project-specific lessons capture additional events of narrower applicability.</w:t>
      </w:r>
    </w:p>
    <w:p>
      <w:pPr>
        <w:pStyle w:val="Heading2"/>
      </w:pPr>
      <w:bookmarkStart w:id="23" w:name="synthesis-by-theme"/>
      <w:r>
        <w:t xml:space="preserve">3. Synthesis by theme</w:t>
      </w:r>
      <w:bookmarkEnd w:id="23"/>
    </w:p>
    <w:p>
      <w:pPr>
        <w:pStyle w:val="FirstParagraph"/>
      </w:pPr>
      <w:r>
        <w:t xml:space="preserve">The lessons are organised by five themes that recur across the issue log, variance analyses, and change orders. Each theme contains specific lessons with evidence cited from the source artefacts.</w:t>
      </w:r>
    </w:p>
    <w:p>
      <w:pPr>
        <w:pStyle w:val="Heading3"/>
      </w:pPr>
      <w:bookmarkStart w:id="24" w:name="procurement-and-vendor-management"/>
      <w:r>
        <w:t xml:space="preserve">3.1 Procurement and vendor management</w:t>
      </w:r>
      <w:bookmarkEnd w:id="24"/>
    </w:p>
    <w:p>
      <w:pPr>
        <w:pStyle w:val="FirstParagraph"/>
      </w:pPr>
      <w:r>
        <w:t xml:space="preserve">Three lessons emerged from the project’s procurement journey.</w:t>
      </w:r>
    </w:p>
    <w:p>
      <w:pPr>
        <w:pStyle w:val="BodyText"/>
      </w:pPr>
      <w:r>
        <w:rPr>
          <w:b/>
        </w:rPr>
        <w:t xml:space="preserve">Furnace OEM vendor management exceeded expectation.</w:t>
      </w:r>
      <w:r>
        <w:t xml:space="preserve"> </w:t>
      </w:r>
      <w:r>
        <w:t xml:space="preserve">The OEM held the contracted 14-week ex-works delivery lead time across both furnace units (Issue I-002 closed Week 4 with vendor confirmation; deliveries arrived per schedule). Vendor financial-health monitoring at quarterly cadence was sufficient for this OEM but is too infrequent for sole-source long-lead procurement of larger value.</w:t>
      </w:r>
      <w:r>
        <w:t xml:space="preserve"> </w:t>
      </w:r>
      <w:r>
        <w:rPr>
          <w:i/>
        </w:rPr>
        <w:t xml:space="preserve">(at draft stage [NEEDS PM REVIEW: monthly cadence standard adopted in Northwood standard practice update Q2 post-closeout])</w:t>
      </w:r>
    </w:p>
    <w:p>
      <w:pPr>
        <w:pStyle w:val="BodyText"/>
      </w:pPr>
      <w:r>
        <w:rPr>
          <w:b/>
        </w:rPr>
        <w:t xml:space="preserve">FAT discipline on lead units validated the contractual delivery cadence.</w:t>
      </w:r>
      <w:r>
        <w:t xml:space="preserve"> </w:t>
      </w:r>
      <w:r>
        <w:t xml:space="preserve">Factory acceptance testing on the lead furnace unit (WBS 3.9) surfaced minor refractory-geometry questions that were resolved during FAT rather than after delivery; the on-site discovery cost would have been substantially higher. Recommend FAT on lead units is mandatory on industrial OEM procurement of &gt;$5M.</w:t>
      </w:r>
    </w:p>
    <w:p>
      <w:pPr>
        <w:pStyle w:val="BodyText"/>
      </w:pPr>
      <w:r>
        <w:rPr>
          <w:b/>
        </w:rPr>
        <w:t xml:space="preserve">The two latent-defect events (I-008, I-010) validated the T&amp;M variation channel.</w:t>
      </w:r>
      <w:r>
        <w:t xml:space="preserve"> </w:t>
      </w:r>
      <w:r>
        <w:t xml:space="preserve">Both events were absorbed through formal variation requests per WBS 4.6; client cost-share thresholds in the contract triggered automatically; total cost impact $425k of which client cost-share $310k. The variation mechanism worked as designed. Recommend the contract Schedule 3 cost-share threshold language from Ironvale becomes Northwood standard for industrial-brownfield T&amp;M contracts.</w:t>
      </w:r>
    </w:p>
    <w:p>
      <w:pPr>
        <w:pStyle w:val="Heading3"/>
      </w:pPr>
      <w:bookmarkStart w:id="25" w:name="engineering-and-design"/>
      <w:r>
        <w:t xml:space="preserve">3.2 Engineering and design</w:t>
      </w:r>
      <w:bookmarkEnd w:id="25"/>
    </w:p>
    <w:p>
      <w:pPr>
        <w:pStyle w:val="FirstParagraph"/>
      </w:pPr>
      <w:r>
        <w:t xml:space="preserve">Three lessons from engineering execution.</w:t>
      </w:r>
    </w:p>
    <w:p>
      <w:pPr>
        <w:pStyle w:val="BodyText"/>
      </w:pPr>
      <w:r>
        <w:rPr>
          <w:b/>
        </w:rPr>
        <w:t xml:space="preserve">Existing-conditions verification benefited from client’s digitised records.</w:t>
      </w:r>
      <w:r>
        <w:t xml:space="preserve"> </w:t>
      </w:r>
      <w:r>
        <w:t xml:space="preserve">The Engineering 30% walkdown (Issue I-001 closed Week 3) confirmed accuracy of client’s digitised records; this validated Charter Assumption 1 and allowed engineering to proceed without the extended-investigation cycle that older facilities typically require. The two-year-old client digitisation investment paid for itself many times over on this project alone.</w:t>
      </w:r>
    </w:p>
    <w:p>
      <w:pPr>
        <w:pStyle w:val="BodyText"/>
      </w:pPr>
      <w:r>
        <w:rPr>
          <w:b/>
        </w:rPr>
        <w:t xml:space="preserve">SCADA architecture decisions on legacy integration are best made at proposal stage.</w:t>
      </w:r>
      <w:r>
        <w:t xml:space="preserve"> </w:t>
      </w:r>
      <w:r>
        <w:t xml:space="preserve">Issue I-006 (client Line C SCADA documentation access, Week 3) was resolvable but cost two weeks of engineering re-scoping. Where a project involves SCADA integration with legacy client systems, the proposal-stage diligence should explicitly request documentation availability and either price the work assuming documentation is missing, or refuse to assume otherwise.</w:t>
      </w:r>
    </w:p>
    <w:p>
      <w:pPr>
        <w:pStyle w:val="BodyText"/>
      </w:pPr>
      <w:r>
        <w:rPr>
          <w:b/>
        </w:rPr>
        <w:t xml:space="preserve">Refractory dry-out procedure adoption favoured OEM specification over Northwood standard.</w:t>
      </w:r>
      <w:r>
        <w:t xml:space="preserve"> </w:t>
      </w:r>
      <w:r>
        <w:t xml:space="preserve">Issue I-009 (Week 17) resolved a difference between OEM-specified dry-out procedure and Northwood standard practice; the OEM-specified procedure was the safer choice given the new refractory’s specific composition. Northwood standard practice should explicitly defer to OEM-specified procedures on novel refractory installations, not just on commissioning sequencing.</w:t>
      </w:r>
    </w:p>
    <w:p>
      <w:pPr>
        <w:pStyle w:val="Heading3"/>
      </w:pPr>
      <w:bookmarkStart w:id="26" w:name="construction-execution"/>
      <w:r>
        <w:t xml:space="preserve">3.3 Construction execution</w:t>
      </w:r>
      <w:bookmarkEnd w:id="26"/>
    </w:p>
    <w:p>
      <w:pPr>
        <w:pStyle w:val="FirstParagraph"/>
      </w:pPr>
      <w:r>
        <w:t xml:space="preserve">Three lessons from on-site construction.</w:t>
      </w:r>
    </w:p>
    <w:p>
      <w:pPr>
        <w:pStyle w:val="BodyText"/>
      </w:pPr>
      <w:r>
        <w:rPr>
          <w:b/>
        </w:rPr>
        <w:t xml:space="preserve">Latent defects on 35-year-old facilities are not a tail-risk but a base-case occurrence.</w:t>
      </w:r>
      <w:r>
        <w:t xml:space="preserve"> </w:t>
      </w:r>
      <w:r>
        <w:t xml:space="preserve">Two H-severity defects on a 35-year-old smelter is the</w:t>
      </w:r>
      <w:r>
        <w:t xml:space="preserve"> </w:t>
      </w:r>
      <w:r>
        <w:rPr>
          <w:i/>
        </w:rPr>
        <w:t xml:space="preserve">expected</w:t>
      </w:r>
      <w:r>
        <w:t xml:space="preserve"> </w:t>
      </w:r>
      <w:r>
        <w:t xml:space="preserve">count, not an exceptional event. Northwood industrial-brownfield project pricing should price latent-defect contingency at 2-3% of contract value above standard contingency, distinct from general contingency.</w:t>
      </w:r>
      <w:r>
        <w:t xml:space="preserve"> </w:t>
      </w:r>
      <w:r>
        <w:rPr>
          <w:i/>
        </w:rPr>
        <w:t xml:space="preserve">(at draft stage [NEEDS PM REVIEW: industrial-brownfield pricing standard updated Q3 post-closeout])</w:t>
      </w:r>
    </w:p>
    <w:p>
      <w:pPr>
        <w:pStyle w:val="BodyText"/>
      </w:pPr>
      <w:r>
        <w:rPr>
          <w:b/>
        </w:rPr>
        <w:t xml:space="preserve">Geotechnical investigation grid density for brownfield should be uniform, not topographically-prioritised.</w:t>
      </w:r>
      <w:r>
        <w:t xml:space="preserve"> </w:t>
      </w:r>
      <w:r>
        <w:t xml:space="preserve">Issue I-010 (foundation settlement anomaly) surfaced in a topographically unremarkable area not sampled densely in the original geotechnical investigation. For brownfield sites, the cost saving from sparse sampling is outweighed by the variance from discovery events.</w:t>
      </w:r>
      <w:r>
        <w:t xml:space="preserve"> </w:t>
      </w:r>
      <w:r>
        <w:rPr>
          <w:i/>
        </w:rPr>
        <w:t xml:space="preserve">(at draft stage [NEEDS PM REVIEW: geotechnical investigation standard for industrial brownfield updated Q1 post-closeout])</w:t>
      </w:r>
    </w:p>
    <w:p>
      <w:pPr>
        <w:pStyle w:val="BodyText"/>
      </w:pPr>
      <w:r>
        <w:rPr>
          <w:b/>
        </w:rPr>
        <w:t xml:space="preserve">Demolition method-statement discipline absorbed the latent-defect events without LTI exposure.</w:t>
      </w:r>
      <w:r>
        <w:t xml:space="preserve"> </w:t>
      </w:r>
      <w:r>
        <w:t xml:space="preserve">The demolition contractor’s method statement (WBS 4.1) included explicit hold points for undocumented infrastructure discovery; the I-008 hot-metal pipe was discovered at one of these hold points rather than during pipe-cutting. Method-statement discipline on brownfield demolition is the operational difference between safe absorption and incident exposure.</w:t>
      </w:r>
    </w:p>
    <w:p>
      <w:pPr>
        <w:pStyle w:val="Heading3"/>
      </w:pPr>
      <w:bookmarkStart w:id="27" w:name="commissioning-and-performance"/>
      <w:r>
        <w:t xml:space="preserve">3.4 Commissioning and performance</w:t>
      </w:r>
      <w:bookmarkEnd w:id="27"/>
    </w:p>
    <w:p>
      <w:pPr>
        <w:pStyle w:val="FirstParagraph"/>
      </w:pPr>
      <w:r>
        <w:t xml:space="preserve">Two lessons from commissioning and performance test.</w:t>
      </w:r>
    </w:p>
    <w:p>
      <w:pPr>
        <w:pStyle w:val="BodyText"/>
      </w:pPr>
      <w:r>
        <w:rPr>
          <w:b/>
        </w:rPr>
        <w:t xml:space="preserve">SCADA-Line-C integration testing should include load-varied scenarios from the earliest test phase.</w:t>
      </w:r>
      <w:r>
        <w:t xml:space="preserve"> </w:t>
      </w:r>
      <w:r>
        <w:t xml:space="preserve">Issue I-017 (intermittent SCADA dropout during commissioning, Week 45) was resolvable through gateway reconfiguration but had been latent since FAT; load-varied test scenarios at FAT would have surfaced it 6 weeks earlier. Northwood SCADA integration test protocol updated to include load-varied scenarios from FAT through SAT.</w:t>
      </w:r>
    </w:p>
    <w:p>
      <w:pPr>
        <w:pStyle w:val="BodyText"/>
      </w:pPr>
      <w:r>
        <w:rPr>
          <w:b/>
        </w:rPr>
        <w:t xml:space="preserve">Hot commissioning first-heat anomalies are an expected event class.</w:t>
      </w:r>
      <w:r>
        <w:t xml:space="preserve"> </w:t>
      </w:r>
      <w:r>
        <w:t xml:space="preserve">Issue I-016 (off-gas temperature 8% over design at first heat) was resolved within OEM tolerance through field modification. The team initially over-escalated this event as an H-severity item before the OEM’s diagnostic confirmed it was a known refractory-geometry behaviour. Northwood operations should pre-brief project teams on the expected envelope of first-heat anomalies on industrial commissioning so that escalation calibration matches.</w:t>
      </w:r>
    </w:p>
    <w:p>
      <w:pPr>
        <w:pStyle w:val="Heading3"/>
      </w:pPr>
      <w:bookmarkStart w:id="28" w:name="commercial-and-contract-structure"/>
      <w:r>
        <w:t xml:space="preserve">3.5 Commercial and contract structure</w:t>
      </w:r>
      <w:bookmarkEnd w:id="28"/>
    </w:p>
    <w:p>
      <w:pPr>
        <w:pStyle w:val="FirstParagraph"/>
      </w:pPr>
      <w:r>
        <w:t xml:space="preserve">Two lessons from commercial outcomes.</w:t>
      </w:r>
    </w:p>
    <w:p>
      <w:pPr>
        <w:pStyle w:val="BodyText"/>
      </w:pPr>
      <w:r>
        <w:rPr>
          <w:b/>
        </w:rPr>
        <w:t xml:space="preserve">T&amp;M with cap commercial structure suited a project where scope evolved through engineering.</w:t>
      </w:r>
      <w:r>
        <w:t xml:space="preserve"> </w:t>
      </w:r>
      <w:r>
        <w:t xml:space="preserve">The Ironvale brief’s outperformance summary attributes part of the 2.3-percentage-point margin upside to the T&amp;M-with-cap structure. The cap protected the client from open-ended exposure; the T&amp;M structure protected Northwood from absorbing latent-defect cost. For projects where engineering discovery is likely to drive scope refinement, T&amp;M-with-cap should be a default proposal-stage commercial option, not a fallback.</w:t>
      </w:r>
    </w:p>
    <w:p>
      <w:pPr>
        <w:pStyle w:val="BodyText"/>
      </w:pPr>
      <w:r>
        <w:rPr>
          <w:b/>
        </w:rPr>
        <w:t xml:space="preserve">Pre-agreed cost-share thresholds in the contract Schedule 3 streamlined latent-defect commercial resolution.</w:t>
      </w:r>
      <w:r>
        <w:t xml:space="preserve"> </w:t>
      </w:r>
      <w:r>
        <w:t xml:space="preserve">The two latent-defect events together generated $425k of variation, with $310k client cost-share applied automatically per pre-agreed Schedule 3 thresholds. Without those thresholds, each event would have required separate commercial negotiation, likely degrading the client relationship and slowing on-site execution. The Schedule 3 language from Ironvale’s contract should be standard Northwood industrial-brownfield language.</w:t>
      </w:r>
    </w:p>
    <w:p>
      <w:pPr>
        <w:pStyle w:val="Heading2"/>
      </w:pPr>
      <w:bookmarkStart w:id="29" w:name="recommendations-for-firm-level-adoption"/>
      <w:r>
        <w:t xml:space="preserve">4. Recommendations for firm-level adoption</w:t>
      </w:r>
      <w:bookmarkEnd w:id="29"/>
    </w:p>
    <w:p>
      <w:pPr>
        <w:pStyle w:val="FirstParagraph"/>
      </w:pPr>
      <w:r>
        <w:t xml:space="preserve">The five headline lessons in §2 plus supporting lessons in §3 generate seven recommendations for Northwood firm-level practice update. Each is classified by adoption pathway and the responsible operational function.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Recommendation</w:t>
            </w:r>
          </w:p>
        </w:tc>
        <w:tc>
          <w:tcPr>
            <w:tcBorders>
              <w:bottom w:val="single"/>
            </w:tcBorders>
            <w:vAlign w:val="bottom"/>
          </w:tcPr>
          <w:p>
            <w:pPr>
              <w:pStyle w:val="Compact"/>
              <w:jc w:val="left"/>
            </w:pPr>
            <w:r>
              <w:t xml:space="preserve">Adoption pathway</w:t>
            </w:r>
          </w:p>
        </w:tc>
        <w:tc>
          <w:tcPr>
            <w:tcBorders>
              <w:bottom w:val="single"/>
            </w:tcBorders>
            <w:vAlign w:val="bottom"/>
          </w:tcPr>
          <w:p>
            <w:pPr>
              <w:pStyle w:val="Compact"/>
              <w:jc w:val="left"/>
            </w:pPr>
            <w:r>
              <w:t xml:space="preserve">Owner function</w:t>
            </w:r>
          </w:p>
        </w:tc>
        <w:tc>
          <w:tcPr>
            <w:tcBorders>
              <w:bottom w:val="single"/>
            </w:tcBorders>
            <w:vAlign w:val="bottom"/>
          </w:tcPr>
          <w:p>
            <w:pPr>
              <w:pStyle w:val="Compact"/>
              <w:jc w:val="left"/>
            </w:pPr>
            <w:r>
              <w:t xml:space="preserve">Status (post-closeout)</w:t>
            </w:r>
          </w:p>
        </w:tc>
      </w:tr>
      <w:tr>
        <w:tc>
          <w:p>
            <w:pPr>
              <w:pStyle w:val="Compact"/>
              <w:jc w:val="left"/>
            </w:pPr>
            <w:r>
              <w:t xml:space="preserve">Single-sourced critical equipment policy update — risk-class, monitoring frequency, performance-bond minimum</w:t>
            </w:r>
          </w:p>
        </w:tc>
        <w:tc>
          <w:p>
            <w:pPr>
              <w:pStyle w:val="Compact"/>
              <w:jc w:val="left"/>
            </w:pPr>
            <w:r>
              <w:t xml:space="preserve">Operations Standards</w:t>
            </w:r>
          </w:p>
        </w:tc>
        <w:tc>
          <w:p>
            <w:pPr>
              <w:pStyle w:val="Compact"/>
              <w:jc w:val="left"/>
            </w:pPr>
            <w:r>
              <w:t xml:space="preserve">Sponsor (VP Industrial cross-functional)</w:t>
            </w:r>
          </w:p>
        </w:tc>
        <w:tc>
          <w:p>
            <w:pPr>
              <w:pStyle w:val="Compact"/>
              <w:jc w:val="left"/>
            </w:pPr>
            <w:r>
              <w:t xml:space="preserve">Adopted Q3 post-closeout</w:t>
            </w:r>
          </w:p>
        </w:tc>
      </w:tr>
      <w:tr>
        <w:tc>
          <w:p>
            <w:pPr>
              <w:pStyle w:val="Compact"/>
              <w:jc w:val="left"/>
            </w:pPr>
            <w:r>
              <w:t xml:space="preserve">Proposal-stage diligence on client-side records — pricing differentiation when records are weak</w:t>
            </w:r>
          </w:p>
        </w:tc>
        <w:tc>
          <w:p>
            <w:pPr>
              <w:pStyle w:val="Compact"/>
              <w:jc w:val="left"/>
            </w:pPr>
            <w:r>
              <w:t xml:space="preserve">Commercial / Proposal Standards</w:t>
            </w:r>
          </w:p>
        </w:tc>
        <w:tc>
          <w:p>
            <w:pPr>
              <w:pStyle w:val="Compact"/>
              <w:jc w:val="left"/>
            </w:pPr>
            <w:r>
              <w:t xml:space="preserve">VP Sales with VP Industrial input</w:t>
            </w:r>
          </w:p>
        </w:tc>
        <w:tc>
          <w:p>
            <w:pPr>
              <w:pStyle w:val="Compact"/>
              <w:jc w:val="left"/>
            </w:pPr>
            <w:r>
              <w:t xml:space="preserve">Adopted Q2 post-closeout</w:t>
            </w:r>
          </w:p>
        </w:tc>
      </w:tr>
      <w:tr>
        <w:tc>
          <w:p>
            <w:pPr>
              <w:pStyle w:val="Compact"/>
              <w:jc w:val="left"/>
            </w:pPr>
            <w:r>
              <w:t xml:space="preserve">Embedded-client-engineer arrangement as contractual deliverable on brownfield refurbishment above $20M</w:t>
            </w:r>
          </w:p>
        </w:tc>
        <w:tc>
          <w:p>
            <w:pPr>
              <w:pStyle w:val="Compact"/>
              <w:jc w:val="left"/>
            </w:pPr>
            <w:r>
              <w:t xml:space="preserve">Commercial / Proposal Standards</w:t>
            </w:r>
          </w:p>
        </w:tc>
        <w:tc>
          <w:p>
            <w:pPr>
              <w:pStyle w:val="Compact"/>
              <w:jc w:val="left"/>
            </w:pPr>
            <w:r>
              <w:t xml:space="preserve">VP Sales</w:t>
            </w:r>
          </w:p>
        </w:tc>
        <w:tc>
          <w:p>
            <w:pPr>
              <w:pStyle w:val="Compact"/>
              <w:jc w:val="left"/>
            </w:pPr>
            <w:r>
              <w:t xml:space="preserve">Adopted Q3 post-closeout</w:t>
            </w:r>
            <w:r>
              <w:t xml:space="preserve"> </w:t>
            </w:r>
            <w:r>
              <w:rPr>
                <w:i/>
              </w:rPr>
              <w:t xml:space="preserve">(at draft stage [NEEDS PM REVIEW: client-acceptance rate of this contractual structure to be tracked through the first three post-Ironvale industrial proposals])</w:t>
            </w:r>
          </w:p>
        </w:tc>
      </w:tr>
      <w:tr>
        <w:tc>
          <w:p>
            <w:pPr>
              <w:pStyle w:val="Compact"/>
              <w:jc w:val="left"/>
            </w:pPr>
            <w:r>
              <w:t xml:space="preserve">T&amp;M-with-cap as standard commercial option for engineering-discovery-sensitive scope</w:t>
            </w:r>
          </w:p>
        </w:tc>
        <w:tc>
          <w:p>
            <w:pPr>
              <w:pStyle w:val="Compact"/>
              <w:jc w:val="left"/>
            </w:pPr>
            <w:r>
              <w:t xml:space="preserve">Commercial / Proposal Standards</w:t>
            </w:r>
          </w:p>
        </w:tc>
        <w:tc>
          <w:p>
            <w:pPr>
              <w:pStyle w:val="Compact"/>
              <w:jc w:val="left"/>
            </w:pPr>
            <w:r>
              <w:t xml:space="preserve">VP Sales with CFO concurrence</w:t>
            </w:r>
          </w:p>
        </w:tc>
        <w:tc>
          <w:p>
            <w:pPr>
              <w:pStyle w:val="Compact"/>
              <w:jc w:val="left"/>
            </w:pPr>
            <w:r>
              <w:t xml:space="preserve">Adopted Q2 post-closeout</w:t>
            </w:r>
          </w:p>
        </w:tc>
      </w:tr>
      <w:tr>
        <w:tc>
          <w:p>
            <w:pPr>
              <w:pStyle w:val="Compact"/>
              <w:jc w:val="left"/>
            </w:pPr>
            <w:r>
              <w:t xml:space="preserve">Full-shutdown-window confirmation as charter §10 hard constraint on industrial integration</w:t>
            </w:r>
          </w:p>
        </w:tc>
        <w:tc>
          <w:p>
            <w:pPr>
              <w:pStyle w:val="Compact"/>
              <w:jc w:val="left"/>
            </w:pPr>
            <w:r>
              <w:t xml:space="preserve">Project Methodology Standards</w:t>
            </w:r>
          </w:p>
        </w:tc>
        <w:tc>
          <w:p>
            <w:pPr>
              <w:pStyle w:val="Compact"/>
              <w:jc w:val="left"/>
            </w:pPr>
            <w:r>
              <w:t xml:space="preserve">VP Industrial with PMO</w:t>
            </w:r>
          </w:p>
        </w:tc>
        <w:tc>
          <w:p>
            <w:pPr>
              <w:pStyle w:val="Compact"/>
              <w:jc w:val="left"/>
            </w:pPr>
            <w:r>
              <w:t xml:space="preserve">Adopted Q4 post-closeout — most controversial; required CFO sign-off on refusal-criteria for projects where window cannot be confirmed</w:t>
            </w:r>
          </w:p>
        </w:tc>
      </w:tr>
      <w:tr>
        <w:tc>
          <w:p>
            <w:pPr>
              <w:pStyle w:val="Compact"/>
              <w:jc w:val="left"/>
            </w:pPr>
            <w:r>
              <w:t xml:space="preserve">FAT on lead units mandatory on industrial OEM procurement &gt;$5M</w:t>
            </w:r>
          </w:p>
        </w:tc>
        <w:tc>
          <w:p>
            <w:pPr>
              <w:pStyle w:val="Compact"/>
              <w:jc w:val="left"/>
            </w:pPr>
            <w:r>
              <w:t xml:space="preserve">Project Methodology Standards</w:t>
            </w:r>
          </w:p>
        </w:tc>
        <w:tc>
          <w:p>
            <w:pPr>
              <w:pStyle w:val="Compact"/>
              <w:jc w:val="left"/>
            </w:pPr>
            <w:r>
              <w:t xml:space="preserve">PMO</w:t>
            </w:r>
          </w:p>
        </w:tc>
        <w:tc>
          <w:p>
            <w:pPr>
              <w:pStyle w:val="Compact"/>
              <w:jc w:val="left"/>
            </w:pPr>
            <w:r>
              <w:t xml:space="preserve">Adopted Q1 post-closeout (fastest adoption — uncontroversial)</w:t>
            </w:r>
          </w:p>
        </w:tc>
      </w:tr>
      <w:tr>
        <w:tc>
          <w:p>
            <w:pPr>
              <w:pStyle w:val="Compact"/>
              <w:jc w:val="left"/>
            </w:pPr>
            <w:r>
              <w:t xml:space="preserve">Latent-defect contingency at 2-3% of contract value above standard, distinct from general contingency, on industrial-brownfield</w:t>
            </w:r>
          </w:p>
        </w:tc>
        <w:tc>
          <w:p>
            <w:pPr>
              <w:pStyle w:val="Compact"/>
              <w:jc w:val="left"/>
            </w:pPr>
            <w:r>
              <w:t xml:space="preserve">Commercial / Estimating Standards</w:t>
            </w:r>
          </w:p>
        </w:tc>
        <w:tc>
          <w:p>
            <w:pPr>
              <w:pStyle w:val="Compact"/>
              <w:jc w:val="left"/>
            </w:pPr>
            <w:r>
              <w:t xml:space="preserve">Estimating with VP Industrial concurrence</w:t>
            </w:r>
          </w:p>
        </w:tc>
        <w:tc>
          <w:p>
            <w:pPr>
              <w:pStyle w:val="Compact"/>
              <w:jc w:val="left"/>
            </w:pPr>
            <w:r>
              <w:t xml:space="preserve">Adopted Q3 post-closeout</w:t>
            </w:r>
          </w:p>
        </w:tc>
      </w:tr>
      <w:tr>
        <w:tc>
          <w:p>
            <w:pPr>
              <w:pStyle w:val="Compact"/>
              <w:jc w:val="left"/>
            </w:pPr>
            <w:r>
              <w:t xml:space="preserve">Geotechnical investigation grid density uniform for industrial brownfield (not topographically-prioritised)</w:t>
            </w:r>
          </w:p>
        </w:tc>
        <w:tc>
          <w:p>
            <w:pPr>
              <w:pStyle w:val="Compact"/>
              <w:jc w:val="left"/>
            </w:pPr>
            <w:r>
              <w:t xml:space="preserve">Project Methodology Standards</w:t>
            </w:r>
          </w:p>
        </w:tc>
        <w:tc>
          <w:p>
            <w:pPr>
              <w:pStyle w:val="Compact"/>
              <w:jc w:val="left"/>
            </w:pPr>
            <w:r>
              <w:t xml:space="preserve">PMO with Engineering Standards</w:t>
            </w:r>
          </w:p>
        </w:tc>
        <w:tc>
          <w:p>
            <w:pPr>
              <w:pStyle w:val="Compact"/>
              <w:jc w:val="left"/>
            </w:pPr>
            <w:r>
              <w:t xml:space="preserve">Adopted Q1 post-closeout</w:t>
            </w:r>
          </w:p>
        </w:tc>
      </w:tr>
      <w:tr>
        <w:tc>
          <w:p>
            <w:pPr>
              <w:pStyle w:val="Compact"/>
              <w:jc w:val="left"/>
            </w:pPr>
            <w:r>
              <w:t xml:space="preserve">SCADA integration test protocol — load-varied scenarios from FAT through SAT</w:t>
            </w:r>
          </w:p>
        </w:tc>
        <w:tc>
          <w:p>
            <w:pPr>
              <w:pStyle w:val="Compact"/>
              <w:jc w:val="left"/>
            </w:pPr>
            <w:r>
              <w:t xml:space="preserve">Project Methodology Standards</w:t>
            </w:r>
          </w:p>
        </w:tc>
        <w:tc>
          <w:p>
            <w:pPr>
              <w:pStyle w:val="Compact"/>
              <w:jc w:val="left"/>
            </w:pPr>
            <w:r>
              <w:t xml:space="preserve">Engineering Standards (Controls discipline)</w:t>
            </w:r>
          </w:p>
        </w:tc>
        <w:tc>
          <w:p>
            <w:pPr>
              <w:pStyle w:val="Compact"/>
              <w:jc w:val="left"/>
            </w:pPr>
            <w:r>
              <w:t xml:space="preserve">Adopted Q2 post-closeout</w:t>
            </w:r>
          </w:p>
        </w:tc>
      </w:tr>
      <w:tr>
        <w:tc>
          <w:p>
            <w:pPr>
              <w:pStyle w:val="Compact"/>
              <w:jc w:val="left"/>
            </w:pPr>
            <w:r>
              <w:t xml:space="preserve">Schedule 3 cost-share threshold language from Ironvale contract as Northwood standard for industrial-brownfield T&amp;M</w:t>
            </w:r>
          </w:p>
        </w:tc>
        <w:tc>
          <w:p>
            <w:pPr>
              <w:pStyle w:val="Compact"/>
              <w:jc w:val="left"/>
            </w:pPr>
            <w:r>
              <w:t xml:space="preserve">Commercial / Contract Standards</w:t>
            </w:r>
          </w:p>
        </w:tc>
        <w:tc>
          <w:p>
            <w:pPr>
              <w:pStyle w:val="Compact"/>
              <w:jc w:val="left"/>
            </w:pPr>
            <w:r>
              <w:t xml:space="preserve">Legal with VP Industrial</w:t>
            </w:r>
          </w:p>
        </w:tc>
        <w:tc>
          <w:p>
            <w:pPr>
              <w:pStyle w:val="Compact"/>
              <w:jc w:val="left"/>
            </w:pPr>
            <w:r>
              <w:t xml:space="preserve">Adopted Q2 post-closeout</w:t>
            </w:r>
          </w:p>
        </w:tc>
      </w:tr>
    </w:tbl>
    <w:p>
      <w:pPr>
        <w:pStyle w:val="Heading2"/>
      </w:pPr>
      <w:bookmarkStart w:id="30" w:name="X3c322ae0c8b0d25149bb00ff1c7068a3c52995b"/>
      <w:r>
        <w:t xml:space="preserve">5. Project-specific lessons (not for firm-level adoption)</w:t>
      </w:r>
      <w:bookmarkEnd w:id="30"/>
    </w:p>
    <w:p>
      <w:pPr>
        <w:pStyle w:val="FirstParagraph"/>
      </w:pPr>
      <w:r>
        <w:t xml:space="preserve">Three lessons are specific to Ironvale’s circumstances and do not warrant firm-level adoption.</w:t>
      </w:r>
    </w:p>
    <w:p>
      <w:pPr>
        <w:pStyle w:val="BodyText"/>
      </w:pPr>
      <w:r>
        <w:rPr>
          <w:b/>
        </w:rPr>
        <w:t xml:space="preserve">T. Hartnett’s specific embedment style is not directly replicable.</w:t>
      </w:r>
      <w:r>
        <w:t xml:space="preserve"> </w:t>
      </w:r>
      <w:r>
        <w:t xml:space="preserve">The embedded-client-engineer arrangement worked exceptionally well in part because T. Hartnett brought 25 years of Ironvale plant operating history to the role. The arrangement is the recommendation (§4); the specific personality and depth is not transferable. Future projects benefiting from embedded-engineer arrangements should expect a different specific dynamic.</w:t>
      </w:r>
    </w:p>
    <w:p>
      <w:pPr>
        <w:pStyle w:val="BodyText"/>
      </w:pPr>
      <w:r>
        <w:rPr>
          <w:b/>
        </w:rPr>
        <w:t xml:space="preserve">The hot-metal pipe discovery during demolition (I-008) is unlikely to recur in the same form.</w:t>
      </w:r>
      <w:r>
        <w:t xml:space="preserve"> </w:t>
      </w:r>
      <w:r>
        <w:t xml:space="preserve">The lesson is the method-statement discipline that absorbed it, not the specific defect. Future industrial-brownfield projects will have different latent defects; the discipline applies; the specific pattern does not.</w:t>
      </w:r>
    </w:p>
    <w:p>
      <w:pPr>
        <w:pStyle w:val="BodyText"/>
      </w:pPr>
      <w:r>
        <w:rPr>
          <w:b/>
        </w:rPr>
        <w:t xml:space="preserve">Refractory dry-out OEM-specified procedure (I-009) reflected this OEM’s specific refractory composition.</w:t>
      </w:r>
      <w:r>
        <w:t xml:space="preserve"> </w:t>
      </w:r>
      <w:r>
        <w:t xml:space="preserve">Different OEMs use different procedures. The lesson is the standard-practice deference to OEM specification on novel installations; the specific Ironvale procedure is not a template.</w:t>
      </w:r>
    </w:p>
    <w:p>
      <w:pPr>
        <w:pStyle w:val="Heading2"/>
      </w:pPr>
      <w:bookmarkStart w:id="31" w:name="recommendations-for-follow-on-projects"/>
      <w:r>
        <w:t xml:space="preserve">6. Recommendations for follow-on projects</w:t>
      </w:r>
      <w:bookmarkEnd w:id="31"/>
    </w:p>
    <w:p>
      <w:pPr>
        <w:pStyle w:val="FirstParagraph"/>
      </w:pPr>
      <w:r>
        <w:t xml:space="preserve">Three follow-on operational recommendations for the Ironvale Metals Group client relationship and for similar industrial clients.</w:t>
      </w:r>
    </w:p>
    <w:p>
      <w:pPr>
        <w:pStyle w:val="BodyText"/>
      </w:pPr>
      <w:r>
        <w:rPr>
          <w:b/>
        </w:rPr>
        <w:t xml:space="preserve">Phase 2 prospect at Ironvale Metals (Furnace Line C upgrade) is a high-probability follow-on within 24 months.</w:t>
      </w:r>
      <w:r>
        <w:t xml:space="preserve"> </w:t>
      </w:r>
      <w:r>
        <w:t xml:space="preserve">The client signalled at closeout that Line C upgrade is in their 3-year capital plan; Northwood is positioned as preferred bidder given the Phase 1 outperformance. Recommend Northwood Account Management maintain quarterly client touch through the warranty year and into Year 2 post-closeout to maintain visibility on the capital-plan timing.</w:t>
      </w:r>
    </w:p>
    <w:p>
      <w:pPr>
        <w:pStyle w:val="BodyText"/>
      </w:pPr>
      <w:r>
        <w:rPr>
          <w:b/>
        </w:rPr>
        <w:t xml:space="preserve">The Schedule 3 cost-share language is a competitive differentiator on T&amp;M-with-cap industrial proposals.</w:t>
      </w:r>
      <w:r>
        <w:t xml:space="preserve"> </w:t>
      </w:r>
      <w:r>
        <w:t xml:space="preserve">Future industrial clients evaluating T&amp;M-with-cap structures will likely benchmark against Ironvale’s terms. Northwood Commercial should treat the Schedule 3 language as a known commercial position, not as a negotiation-from-scratch item.</w:t>
      </w:r>
    </w:p>
    <w:p>
      <w:pPr>
        <w:pStyle w:val="BodyText"/>
      </w:pPr>
      <w:r>
        <w:rPr>
          <w:b/>
        </w:rPr>
        <w:t xml:space="preserve">The PMBOK-aligned 22-issue log structure produced during Ironvale execution is the canonical Northwood-industrial issue-log template going forward.</w:t>
      </w:r>
      <w:r>
        <w:t xml:space="preserve"> </w:t>
      </w:r>
      <w:r>
        <w:t xml:space="preserve">Future industrial-project PMs should use Ironvale’s issue log as the worked example for issue-log discipline (this is precisely the use to which it is being put in the agent build).</w:t>
      </w:r>
    </w:p>
    <w:p>
      <w:pPr>
        <w:pStyle w:val="Heading2"/>
      </w:pPr>
      <w:bookmarkStart w:id="32" w:name="conventions-used"/>
      <w:r>
        <w:t xml:space="preserve">7. Conventions used</w:t>
      </w:r>
      <w:bookmarkEnd w:id="32"/>
    </w:p>
    <w:p>
      <w:pPr>
        <w:pStyle w:val="FirstParagraph"/>
      </w:pPr>
      <w:r>
        <w:t xml:space="preserve">Five patterns this document follows, for traceability against the Northwood worked-example convention:</w:t>
      </w:r>
    </w:p>
    <w:p>
      <w:pPr>
        <w:numPr>
          <w:ilvl w:val="0"/>
          <w:numId w:val="1003"/>
        </w:numPr>
        <w:pStyle w:val="Compact"/>
      </w:pPr>
      <w:r>
        <w:rPr>
          <w:b/>
        </w:rPr>
        <w:t xml:space="preserve">Synthesis is theme-led, not chronology-led.</w:t>
      </w:r>
      <w:r>
        <w:t xml:space="preserve"> </w:t>
      </w:r>
      <w:r>
        <w:t xml:space="preserve">Lessons organised by five themes (Procurement &amp; vendor management; Engineering &amp; design; Construction execution; Commissioning &amp; performance; Commercial &amp; contract structure), not by week or by issue ID. A chronological lessons document fails to surface patterns because it preserves the noise of timing. Theme-led synthesis extracts the signal.</w:t>
      </w:r>
    </w:p>
    <w:p>
      <w:pPr>
        <w:numPr>
          <w:ilvl w:val="0"/>
          <w:numId w:val="1003"/>
        </w:numPr>
        <w:pStyle w:val="Compact"/>
      </w:pPr>
      <w:r>
        <w:rPr>
          <w:b/>
        </w:rPr>
        <w:t xml:space="preserve">Every lesson has cited evidence from upstream artefacts.</w:t>
      </w:r>
      <w:r>
        <w:t xml:space="preserve"> </w:t>
      </w:r>
      <w:r>
        <w:t xml:space="preserve">Issue log entries (I-NNN), variance root causes, change-order analyses are the evidence base. Lessons without cited evidence are inadmissible — they may be true but they are unsupported and cannot drive firm-level standard updates.</w:t>
      </w:r>
    </w:p>
    <w:p>
      <w:pPr>
        <w:numPr>
          <w:ilvl w:val="0"/>
          <w:numId w:val="1003"/>
        </w:numPr>
        <w:pStyle w:val="Compact"/>
      </w:pPr>
      <w:r>
        <w:rPr>
          <w:b/>
        </w:rPr>
        <w:t xml:space="preserve">Recommendations classified by adoption pathway and owner function.</w:t>
      </w:r>
      <w:r>
        <w:t xml:space="preserve"> </w:t>
      </w:r>
      <w:r>
        <w:t xml:space="preserve">Operations Standards, Commercial Standards, Project Methodology Standards, Engineering Standards, Contract Standards are the five pathways; each pathway has a specific Northwood operational function as owner. Unclassified recommendations are unactionable.</w:t>
      </w:r>
    </w:p>
    <w:p>
      <w:pPr>
        <w:numPr>
          <w:ilvl w:val="0"/>
          <w:numId w:val="1003"/>
        </w:numPr>
        <w:pStyle w:val="Compact"/>
      </w:pPr>
      <w:r>
        <w:rPr>
          <w:b/>
        </w:rPr>
        <w:t xml:space="preserve">Firm-level vs project-specific separation explicit.</w:t>
      </w:r>
      <w:r>
        <w:t xml:space="preserve"> </w:t>
      </w:r>
      <w:r>
        <w:t xml:space="preserve">§4 contains the firm-level recommendations that should change Northwood standard practice. §5 contains the project-specific lessons that should not. The separation prevents firm-level adoption of patterns that are not transferable.</w:t>
      </w:r>
    </w:p>
    <w:p>
      <w:pPr>
        <w:numPr>
          <w:ilvl w:val="0"/>
          <w:numId w:val="1003"/>
        </w:numPr>
        <w:pStyle w:val="Compact"/>
      </w:pPr>
      <w:r>
        <w:rPr>
          <w:b/>
        </w:rPr>
        <w:t xml:space="preserve">Adoption status tracked at the lesson level, not just at the document level.</w:t>
      </w:r>
      <w:r>
        <w:t xml:space="preserve"> </w:t>
      </w:r>
      <w:r>
        <w:t xml:space="preserve">Each firm-level recommendation in §4 has an adoption-quarter status. The lessons-learned document is a</w:t>
      </w:r>
      <w:r>
        <w:t xml:space="preserve"> </w:t>
      </w:r>
      <w:r>
        <w:rPr>
          <w:i/>
        </w:rPr>
        <w:t xml:space="preserve">living artefact</w:t>
      </w:r>
      <w:r>
        <w:t xml:space="preserve"> </w:t>
      </w:r>
      <w:r>
        <w:t xml:space="preserve">updated through the first year post-closeout as adoption decisions land; it is not a closeout-only document.</w:t>
      </w:r>
    </w:p>
    <w:p>
      <w:pPr>
        <w:pStyle w:val="Heading2"/>
      </w:pPr>
      <w:bookmarkStart w:id="33" w:name="notes-for-downstream-agents"/>
      <w:r>
        <w:t xml:space="preserve">8. Notes for downstream agents</w:t>
      </w:r>
      <w:bookmarkEnd w:id="33"/>
    </w:p>
    <w:p>
      <w:pPr>
        <w:numPr>
          <w:ilvl w:val="0"/>
          <w:numId w:val="1004"/>
        </w:numPr>
        <w:pStyle w:val="Compact"/>
      </w:pPr>
      <w:r>
        <w:rPr>
          <w:b/>
        </w:rPr>
        <w:t xml:space="preserve">Closeout Reporter.</w:t>
      </w:r>
      <w:r>
        <w:t xml:space="preserve"> </w:t>
      </w:r>
      <w:r>
        <w:t xml:space="preserve">The lessons-learned synthesis feeds the closeout report’s</w:t>
      </w:r>
      <w:r>
        <w:t xml:space="preserve"> </w:t>
      </w:r>
      <w:r>
        <w:t xml:space="preserve">“</w:t>
      </w:r>
      <w:r>
        <w:t xml:space="preserve">Lessons</w:t>
      </w:r>
      <w:r>
        <w:t xml:space="preserve">”</w:t>
      </w:r>
      <w:r>
        <w:t xml:space="preserve"> </w:t>
      </w:r>
      <w:r>
        <w:t xml:space="preserve">section. The §2 executive summary five headlines are quoted at headline level in the closeout report; §4 firm-level recommendations are listed in the closeout report appendix; §5 project-specific lessons are mentioned briefly. The closeout report focuses on what happened on this project; the lessons-learned synthesis focuses on what Northwood should change going forward — the two documents complement each other.</w:t>
      </w:r>
    </w:p>
    <w:p>
      <w:pPr>
        <w:numPr>
          <w:ilvl w:val="0"/>
          <w:numId w:val="1004"/>
        </w:numPr>
        <w:pStyle w:val="Compact"/>
      </w:pPr>
      <w:r>
        <w:rPr>
          <w:b/>
        </w:rPr>
        <w:t xml:space="preserve">Portfolio Risk Reviewer.</w:t>
      </w:r>
      <w:r>
        <w:t xml:space="preserve"> </w:t>
      </w:r>
      <w:r>
        <w:t xml:space="preserve">The single-sourced-critical-equipment lesson (§2 lesson 1) is a firm-level pattern that should flow into portfolio-level risk analysis. Where multiple active projects in the portfolio share a single-OEM dependency, the Portfolio Risk Reviewer surfaces the cross-cutting pattern using this lesson as the analytical anchor.</w:t>
      </w:r>
    </w:p>
    <w:p>
      <w:pPr>
        <w:numPr>
          <w:ilvl w:val="0"/>
          <w:numId w:val="1004"/>
        </w:numPr>
        <w:pStyle w:val="Compact"/>
      </w:pPr>
      <w:r>
        <w:rPr>
          <w:b/>
        </w:rPr>
        <w:t xml:space="preserve">Status Reporter (on follow-on projects).</w:t>
      </w:r>
      <w:r>
        <w:t xml:space="preserve"> </w:t>
      </w:r>
      <w:r>
        <w:t xml:space="preserve">On any subsequent industrial-brownfield project, the status report’s</w:t>
      </w:r>
      <w:r>
        <w:t xml:space="preserve"> </w:t>
      </w:r>
      <w:r>
        <w:t xml:space="preserve">“</w:t>
      </w:r>
      <w:r>
        <w:t xml:space="preserve">Risks</w:t>
      </w:r>
      <w:r>
        <w:t xml:space="preserve">”</w:t>
      </w:r>
      <w:r>
        <w:t xml:space="preserve"> </w:t>
      </w:r>
      <w:r>
        <w:t xml:space="preserve">section should reference the firm-level lessons from this synthesis where they apply. For example, a subsequent project with a 30+ year-old plant should explicitly note the latent-defect contingency lesson (§3.3) in its early status reports.</w:t>
      </w:r>
    </w:p>
    <w:p>
      <w:pPr>
        <w:numPr>
          <w:ilvl w:val="0"/>
          <w:numId w:val="1004"/>
        </w:numPr>
        <w:pStyle w:val="Compact"/>
      </w:pPr>
      <w:r>
        <w:rPr>
          <w:b/>
        </w:rPr>
        <w:t xml:space="preserve">Issue Logger (on follow-on projects).</w:t>
      </w:r>
      <w:r>
        <w:t xml:space="preserve"> </w:t>
      </w:r>
      <w:r>
        <w:t xml:space="preserve">The 22-issue log structure on Ironvale is the canonical template for industrial-project issue logs going forward. The agent build uses Ironvale’s log as the worked example for the Issue Logger (this consistency between the artefact role in execution and its role in the agent build is intentional).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2026-05-23T22:46:39Z</dcterms:created>
  <dcterms:modified xsi:type="dcterms:W3CDTF">2026-05-23T22:46:39Z</dcterms:modified>
</cp:coreProperties>
</file>

<file path=docProps/custom.xml><?xml version="1.0" encoding="utf-8"?>
<Properties xmlns="http://schemas.openxmlformats.org/officeDocument/2006/custom-properties" xmlns:vt="http://schemas.openxmlformats.org/officeDocument/2006/docPropsVTypes"/>
</file>