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Heading1"/>
      </w:pPr>
      <w:bookmarkStart w:id="20" w:name="X281ae5bc563bf20e02916e582251dc32173fc9c"/>
      <w:r>
        <w:t xml:space="preserve">Weekly Status — Ironvale Smelter Modernisation</w:t>
      </w:r>
      <w:bookmarkEnd w:id="20"/>
    </w:p>
    <w:p>
      <w:pPr>
        <w:pStyle w:val="FirstParagraph"/>
      </w:pPr>
      <w:r>
        <w:rPr>
          <w:b/>
        </w:rPr>
        <w:t xml:space="preserve">Project:</w:t>
      </w:r>
      <w:r>
        <w:t xml:space="preserve"> </w:t>
      </w:r>
      <w:r>
        <w:t xml:space="preserve">NW-IND-2110</w:t>
      </w:r>
      <w:r>
        <w:t xml:space="preserve"> </w:t>
      </w:r>
      <w:r>
        <w:rPr>
          <w:b/>
        </w:rPr>
        <w:t xml:space="preserve">Reporting period:</w:t>
      </w:r>
      <w:r>
        <w:t xml:space="preserve"> </w:t>
      </w:r>
      <w:r>
        <w:t xml:space="preserve">Week 32 of construction (ending Sunday)</w:t>
      </w:r>
      <w:r>
        <w:t xml:space="preserve"> </w:t>
      </w:r>
      <w:r>
        <w:rPr>
          <w:b/>
        </w:rPr>
        <w:t xml:space="preserve">PM:</w:t>
      </w:r>
      <w:r>
        <w:t xml:space="preserve"> </w:t>
      </w:r>
      <w:r>
        <w:t xml:space="preserve">P. Beaumont</w:t>
      </w:r>
      <w:r>
        <w:t xml:space="preserve"> </w:t>
      </w:r>
      <w:r>
        <w:rPr>
          <w:b/>
        </w:rPr>
        <w:t xml:space="preserve">Status (overall):</w:t>
      </w:r>
      <w:r>
        <w:t xml:space="preserve"> </w:t>
      </w:r>
      <w:r>
        <w:t xml:space="preserve">Green — On schedule, on budget, latent defect surfaced and contained</w:t>
      </w:r>
    </w:p>
    <w:p>
      <w:pPr>
        <w:pStyle w:val="Heading2"/>
      </w:pPr>
      <w:bookmarkStart w:id="21" w:name="headline"/>
      <w:r>
        <w:t xml:space="preserve">Headline</w:t>
      </w:r>
      <w:bookmarkEnd w:id="21"/>
    </w:p>
    <w:p>
      <w:pPr>
        <w:pStyle w:val="FirstParagraph"/>
      </w:pPr>
      <w:r>
        <w:t xml:space="preserve">Furnace Line A mechanical completion achieved Friday, two days ahead of plan. One latent defect discovered during demolition (cracked structural bracket in support frame) has been engineered around without schedule impact; client cost-share invoked under contract terms.</w:t>
      </w:r>
    </w:p>
    <w:p>
      <w:pPr>
        <w:pStyle w:val="Heading2"/>
      </w:pPr>
      <w:bookmarkStart w:id="22" w:name="progress"/>
      <w:r>
        <w:t xml:space="preserve">Progress</w:t>
      </w:r>
      <w:bookmarkEnd w:id="22"/>
    </w:p>
    <w:p>
      <w:pPr>
        <w:numPr>
          <w:ilvl w:val="0"/>
          <w:numId w:val="1001"/>
        </w:numPr>
        <w:pStyle w:val="Compact"/>
      </w:pPr>
      <w:r>
        <w:rPr>
          <w:b/>
        </w:rPr>
        <w:t xml:space="preserve">Engineering:</w:t>
      </w:r>
      <w:r>
        <w:t xml:space="preserve"> </w:t>
      </w:r>
      <w:r>
        <w:t xml:space="preserve">100%.</w:t>
      </w:r>
    </w:p>
    <w:p>
      <w:pPr>
        <w:numPr>
          <w:ilvl w:val="0"/>
          <w:numId w:val="1001"/>
        </w:numPr>
        <w:pStyle w:val="Compact"/>
      </w:pPr>
      <w:r>
        <w:rPr>
          <w:b/>
        </w:rPr>
        <w:t xml:space="preserve">Procurement:</w:t>
      </w:r>
      <w:r>
        <w:t xml:space="preserve"> </w:t>
      </w:r>
      <w:r>
        <w:t xml:space="preserve">Line A 100%; Line B equipment in transit, due Week 34.</w:t>
      </w:r>
    </w:p>
    <w:p>
      <w:pPr>
        <w:numPr>
          <w:ilvl w:val="0"/>
          <w:numId w:val="1001"/>
        </w:numPr>
        <w:pStyle w:val="Compact"/>
      </w:pPr>
      <w:r>
        <w:rPr>
          <w:b/>
        </w:rPr>
        <w:t xml:space="preserve">Construction:</w:t>
      </w:r>
      <w:r>
        <w:t xml:space="preserve"> </w:t>
      </w:r>
      <w:r>
        <w:t xml:space="preserve">Line A 100% mechanical; Line B 64% mechanical.</w:t>
      </w:r>
    </w:p>
    <w:p>
      <w:pPr>
        <w:numPr>
          <w:ilvl w:val="0"/>
          <w:numId w:val="1001"/>
        </w:numPr>
        <w:pStyle w:val="Compact"/>
      </w:pPr>
      <w:r>
        <w:rPr>
          <w:b/>
        </w:rPr>
        <w:t xml:space="preserve">Commissioning:</w:t>
      </w:r>
      <w:r>
        <w:t xml:space="preserve"> </w:t>
      </w:r>
      <w:r>
        <w:t xml:space="preserve">Line A commissioning to commence Week 34.</w:t>
      </w:r>
    </w:p>
    <w:p>
      <w:pPr>
        <w:pStyle w:val="Heading2"/>
      </w:pPr>
      <w:bookmarkStart w:id="23" w:name="schedule"/>
      <w:r>
        <w:t xml:space="preserve">Schedule</w:t>
      </w:r>
      <w:bookmarkEnd w:id="23"/>
    </w:p>
    <w:p>
      <w:pPr>
        <w:numPr>
          <w:ilvl w:val="0"/>
          <w:numId w:val="1002"/>
        </w:numPr>
        <w:pStyle w:val="Compact"/>
      </w:pPr>
      <w:r>
        <w:rPr>
          <w:b/>
        </w:rPr>
        <w:t xml:space="preserve">Variance to plan:</w:t>
      </w:r>
      <w:r>
        <w:t xml:space="preserve"> </w:t>
      </w:r>
      <w:r>
        <w:t xml:space="preserve">+2 days ahead of baseline.</w:t>
      </w:r>
    </w:p>
    <w:p>
      <w:pPr>
        <w:numPr>
          <w:ilvl w:val="0"/>
          <w:numId w:val="1002"/>
        </w:numPr>
        <w:pStyle w:val="Compact"/>
      </w:pPr>
      <w:r>
        <w:rPr>
          <w:b/>
        </w:rPr>
        <w:t xml:space="preserve">Critical path:</w:t>
      </w:r>
      <w:r>
        <w:t xml:space="preserve"> </w:t>
      </w:r>
      <w:r>
        <w:t xml:space="preserve">Line B mechanical completion → tie-in week.</w:t>
      </w:r>
    </w:p>
    <w:p>
      <w:pPr>
        <w:numPr>
          <w:ilvl w:val="0"/>
          <w:numId w:val="1002"/>
        </w:numPr>
        <w:pStyle w:val="Compact"/>
      </w:pPr>
      <w:r>
        <w:rPr>
          <w:b/>
        </w:rPr>
        <w:t xml:space="preserve">Forecast completion:</w:t>
      </w:r>
      <w:r>
        <w:t xml:space="preserve"> </w:t>
      </w:r>
      <w:r>
        <w:t xml:space="preserve">30 June year+1 (on baseline).</w:t>
      </w:r>
    </w:p>
    <w:p>
      <w:pPr>
        <w:pStyle w:val="Heading2"/>
      </w:pPr>
      <w:bookmarkStart w:id="24" w:name="cost-and-commercial"/>
      <w:r>
        <w:t xml:space="preserve">Cost and commercial</w:t>
      </w:r>
      <w:bookmarkEnd w:id="24"/>
    </w:p>
    <w:p>
      <w:pPr>
        <w:numPr>
          <w:ilvl w:val="0"/>
          <w:numId w:val="1003"/>
        </w:numPr>
        <w:pStyle w:val="Compact"/>
      </w:pPr>
      <w:r>
        <w:rPr>
          <w:b/>
        </w:rPr>
        <w:t xml:space="preserve">Cost-to-date vs plan:</w:t>
      </w:r>
      <w:r>
        <w:t xml:space="preserve"> </w:t>
      </w:r>
      <w:r>
        <w:t xml:space="preserve">-$60k under spend on T&amp;M.</w:t>
      </w:r>
    </w:p>
    <w:p>
      <w:pPr>
        <w:numPr>
          <w:ilvl w:val="0"/>
          <w:numId w:val="1003"/>
        </w:numPr>
        <w:pStyle w:val="Compact"/>
      </w:pPr>
      <w:r>
        <w:rPr>
          <w:b/>
        </w:rPr>
        <w:t xml:space="preserve">Forecast at completion:</w:t>
      </w:r>
      <w:r>
        <w:t xml:space="preserve"> </w:t>
      </w:r>
      <w:r>
        <w:t xml:space="preserve">$26.8M (working value), well within cap.</w:t>
      </w:r>
    </w:p>
    <w:p>
      <w:pPr>
        <w:numPr>
          <w:ilvl w:val="0"/>
          <w:numId w:val="1003"/>
        </w:numPr>
        <w:pStyle w:val="Compact"/>
      </w:pPr>
      <w:r>
        <w:rPr>
          <w:b/>
        </w:rPr>
        <w:t xml:space="preserve">Margin trajectory:</w:t>
      </w:r>
      <w:r>
        <w:t xml:space="preserve"> </w:t>
      </w:r>
      <w:r>
        <w:t xml:space="preserve">holding at 10%.</w:t>
      </w:r>
    </w:p>
    <w:p>
      <w:pPr>
        <w:numPr>
          <w:ilvl w:val="0"/>
          <w:numId w:val="1003"/>
        </w:numPr>
        <w:pStyle w:val="Compact"/>
      </w:pPr>
      <w:r>
        <w:rPr>
          <w:b/>
        </w:rPr>
        <w:t xml:space="preserve">Active change orders:</w:t>
      </w:r>
      <w:r>
        <w:t xml:space="preserve"> </w:t>
      </w:r>
      <w:r>
        <w:t xml:space="preserve">CO-03 (latent defect remediation, $48k, 70/30 client cost-share per contract).</w:t>
      </w:r>
    </w:p>
    <w:p>
      <w:pPr>
        <w:pStyle w:val="Heading2"/>
      </w:pPr>
      <w:bookmarkStart w:id="25" w:name="risks-and-issues"/>
      <w:r>
        <w:t xml:space="preserve">Risks and issues</w:t>
      </w:r>
      <w:bookmarkEnd w:id="25"/>
    </w:p>
    <w:p>
      <w:pPr>
        <w:numPr>
          <w:ilvl w:val="0"/>
          <w:numId w:val="1004"/>
        </w:numPr>
        <w:pStyle w:val="Compact"/>
      </w:pPr>
      <w:r>
        <w:rPr>
          <w:b/>
        </w:rPr>
        <w:t xml:space="preserve">New:</w:t>
      </w:r>
      <w:r>
        <w:t xml:space="preserve"> </w:t>
      </w:r>
      <w:r>
        <w:t xml:space="preserve">R-008 — Cracked bracket in Line A support frame found during demolition. Engineered around, structural calc reviewed by client. No further action.</w:t>
      </w:r>
    </w:p>
    <w:p>
      <w:pPr>
        <w:numPr>
          <w:ilvl w:val="0"/>
          <w:numId w:val="1004"/>
        </w:numPr>
        <w:pStyle w:val="Compact"/>
      </w:pPr>
      <w:r>
        <w:rPr>
          <w:b/>
        </w:rPr>
        <w:t xml:space="preserve">Watching:</w:t>
      </w:r>
      <w:r>
        <w:t xml:space="preserve"> </w:t>
      </w:r>
      <w:r>
        <w:t xml:space="preserve">R-002 (Line B furnace delivery). On schedule for Week 34 dock.</w:t>
      </w:r>
    </w:p>
    <w:p>
      <w:pPr>
        <w:pStyle w:val="Heading2"/>
      </w:pPr>
      <w:bookmarkStart w:id="26" w:name="safety-quality-environment"/>
      <w:r>
        <w:t xml:space="preserve">Safety / quality / environment</w:t>
      </w:r>
      <w:bookmarkEnd w:id="26"/>
    </w:p>
    <w:p>
      <w:pPr>
        <w:numPr>
          <w:ilvl w:val="0"/>
          <w:numId w:val="1005"/>
        </w:numPr>
        <w:pStyle w:val="Compact"/>
      </w:pPr>
      <w:r>
        <w:t xml:space="preserve">Zero LTIs to date. 1 first-aid case this period. Air-quality monitoring during demolition consistently below action levels.</w:t>
      </w:r>
    </w:p>
    <w:p>
      <w:pPr>
        <w:pStyle w:val="Heading2"/>
      </w:pPr>
      <w:bookmarkStart w:id="27" w:name="look-ahead"/>
      <w:r>
        <w:t xml:space="preserve">Look-ahead</w:t>
      </w:r>
      <w:bookmarkEnd w:id="27"/>
    </w:p>
    <w:p>
      <w:pPr>
        <w:numPr>
          <w:ilvl w:val="0"/>
          <w:numId w:val="1006"/>
        </w:numPr>
        <w:pStyle w:val="Compact"/>
      </w:pPr>
      <w:r>
        <w:t xml:space="preserve">Line A commissioning begins Week 34.</w:t>
      </w:r>
    </w:p>
    <w:p>
      <w:pPr>
        <w:numPr>
          <w:ilvl w:val="0"/>
          <w:numId w:val="1006"/>
        </w:numPr>
        <w:pStyle w:val="Compact"/>
      </w:pPr>
      <w:r>
        <w:t xml:space="preserve">Line B furnace OEM delivery to site, Week 34.</w:t>
      </w:r>
    </w:p>
    <w:p>
      <w:pPr>
        <w:numPr>
          <w:ilvl w:val="0"/>
          <w:numId w:val="1006"/>
        </w:numPr>
        <w:pStyle w:val="Compact"/>
      </w:pPr>
      <w:r>
        <w:t xml:space="preserve">Client mid-project review meeting, Week 35.</w:t>
      </w:r>
    </w:p>
    <w:p>
      <w:pPr>
        <w:pStyle w:val="Heading2"/>
      </w:pPr>
      <w:bookmarkStart w:id="28" w:name="asks"/>
      <w:r>
        <w:t xml:space="preserve">Asks</w:t>
      </w:r>
      <w:bookmarkEnd w:id="28"/>
    </w:p>
    <w:p>
      <w:pPr>
        <w:numPr>
          <w:ilvl w:val="0"/>
          <w:numId w:val="1007"/>
        </w:numPr>
        <w:pStyle w:val="Compact"/>
      </w:pPr>
      <w:r>
        <w:t xml:space="preserve">Director sign-off on CO-03 once client countersigns. Owner: S. Friedman.</w:t>
      </w:r>
    </w:p>
    <w:p>
      <w:pPr>
        <w:numPr>
          <w:ilvl w:val="0"/>
          <w:numId w:val="1007"/>
        </w:numPr>
        <w:pStyle w:val="Compact"/>
      </w:pPr>
      <w:r>
        <w:t xml:space="preserve">Confirm shutdown window scheduling with client Operations Manager, Week 33. Owner: PM.</w:t>
      </w:r>
    </w:p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2c1ae401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abstractNum w:abstractNumId="991">
    <w:nsid w:val="ea454b4c"/>
    <w:multiLevelType w:val="multilevel"/>
    <w:lvl w:ilvl="0">
      <w:numFmt w:val="bullet"/>
      <w:lvlText w:val="•"/>
      <w:lvlJc w:val="left"/>
      <w:pPr>
        <w:tabs>
          <w:tab w:val="num" w:pos="0"/>
        </w:tabs>
        <w:ind w:left="480" w:hanging="480"/>
      </w:pPr>
    </w:lvl>
    <w:lvl w:ilvl="1">
      <w:numFmt w:val="bullet"/>
      <w:lvlText w:val="–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•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–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•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–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•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–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•"/>
      <w:lvlJc w:val="left"/>
      <w:pPr>
        <w:tabs>
          <w:tab w:val="num" w:pos="5760"/>
        </w:tabs>
        <w:ind w:left="624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embedSystemFonts/>
  <w:proofState w:spelling="clean" w:grammar="clean"/>
  <w:stylePaneFormatFilter w:val="0004"/>
  <w:footnotePr>
    <w:footnote w:id="-1"/>
    <w:footnote w:id="0"/>
  </w:footnotePr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  <w:rsidRoot w:val="00590D07"/>
    <w:rsid w:val="00011C8B"/>
    <w:rsid w:val="004E29B3"/>
    <w:rsid w:val="00590D07"/>
    <w:rsid w:val="00784D58"/>
    <w:rsid w:val="008D6863"/>
    <w:rsid w:val="00B86B75"/>
    <w:rsid w:val="00BC48D5"/>
    <w:rsid w:val="00C36279"/>
    <w:rsid w:val="00E315A3"/>
  </w:rsids>
  <m:mathPr>
    <m:mathFont m:val="Lucida Grande"/>
    <m:brkBin m:val="before"/>
    <m:brkBinSub m:val="--"/>
    <m:smallFrac m:val="false"/>
    <m:dispDef m:val="false"/>
    <m:lMargin m:val="0"/>
    <m:rMargin m:val="0"/>
    <m:wrapRight/>
    <m:intLim m:val="subSup"/>
    <m:naryLim m:val="subSup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:proofState w:spelling="clean" w:grammar="clean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</w:style>
  <w:style w:type="paragraph" w:styleId="BodyText">
    <w:name w:val="Body Text"/>
    <w:basedOn w:val="Normal"/>
    <w:link w:val="BodyTextChar"/>
    <w:pPr>
      <w:spacing w:before="180" w:after="180"/>
    </w:pPr>
    <w:qFormat/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qFormat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Subtitle">
    <w:name w:val="Subtitle"/>
    <w:basedOn w:val="Title"/>
    <w:next w:val="BodyText"/>
    <w:qFormat/>
    <w:pPr>
      <w:keepNext/>
      <w:keepLines/>
      <w:spacing w:before="240" w:after="240"/>
      <w:jc w:val="center"/>
    </w:pPr>
    <w:rPr>
      <w:sz w:val="30"/>
      <w:szCs w:val="30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">
    <w:name w:val="Abstract"/>
    <w:basedOn w:val="Normal"/>
    <w:next w:val="BodyText"/>
    <w:qFormat/>
    <w:pPr>
      <w:keepNext/>
      <w:keepLines/>
      <w:spacing w:before="300" w:after="3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/>
    <w:pPr/>
    <w:rPr/>
  </w:style>
  <w:style w:type="paragraph" w:styleId="Heading1">
    <w:name w:val="Heading 1"/>
    <w:basedOn w:val="Normal"/>
    <w:next w:val="BodyText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4F81BD" w:themeColor="accent1"/>
      <w:sz w:val="32"/>
      <w:szCs w:val="32"/>
    </w:rPr>
  </w:style>
  <w:style w:type="paragraph" w:styleId="Heading2">
    <w:name w:val="Heading 2"/>
    <w:basedOn w:val="Normal"/>
    <w:next w:val="BodyText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Heading3">
    <w:name w:val="Heading 3"/>
    <w:basedOn w:val="Normal"/>
    <w:next w:val="BodyText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sz w:val="24"/>
      <w:szCs w:val="24"/>
    </w:rPr>
  </w:style>
  <w:style w:type="paragraph" w:styleId="Heading4">
    <w:name w:val="Heading 4"/>
    <w:basedOn w:val="Normal"/>
    <w:next w:val="BodyText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i/>
      <w:bCs/>
      <w:color w:val="4F81BD" w:themeColor="accent1"/>
      <w:sz w:val="24"/>
      <w:szCs w:val="24"/>
    </w:rPr>
  </w:style>
  <w:style w:type="paragraph" w:styleId="Heading5">
    <w:name w:val="Heading 5"/>
    <w:basedOn w:val="Normal"/>
    <w:next w:val="BodyText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Cs/>
      <w:color w:val="4F81BD" w:themeColor="accent1"/>
      <w:sz w:val="24"/>
      <w:szCs w:val="24"/>
    </w:rPr>
  </w:style>
  <w:style w:type="paragraph" w:styleId="Heading6">
    <w:name w:val="Heading 6"/>
    <w:basedOn w:val="Normal"/>
    <w:next w:val="BodyText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7">
    <w:name w:val="Heading 7"/>
    <w:basedOn w:val="Normal"/>
    <w:next w:val="BodyText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8">
    <w:name w:val="Heading 8"/>
    <w:basedOn w:val="Normal"/>
    <w:next w:val="BodyText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9">
    <w:name w:val="Heading 9"/>
    <w:basedOn w:val="Normal"/>
    <w:next w:val="BodyText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firstLine="0" w:left="480" w:right="480"/>
    </w:pPr>
  </w:style>
  <w:style w:type="paragraph" w:styleId="FootnoteText">
    <w:name w:val="Footnote Text"/>
    <w:basedOn w:val="Normal"/>
    <w:next w:val="FootnoteText"/>
    <w:uiPriority w:val="9"/>
    <w:unhideWhenUsed/>
    <w:qFormat/>
  </w:style>
  <w:style w:type="character" w:default="1" w:styleId="DefaultParagraphFont">
    <w:name w:val="Default Paragraph Font"/>
    <w:semiHidden/>
    <w:unhideWhenUsed/>
  </w:style>
  <w:style w:type="table" w:default="1" w:styleId="Table">
    <w:name w:val="Table"/>
    <w:basedOn w:val="TableNormal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BodyTextChar"/>
    <w:pPr>
      <w:spacing w:before="0"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/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/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
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
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2026-05-18T20:06:33Z</dcterms:created>
  <dcterms:modified xsi:type="dcterms:W3CDTF">2026-05-18T20:06:33Z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