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e1adec3f909f9dd65819a8bf0699f6534c1a06c"/>
      <w:r>
        <w:t xml:space="preserve">Risk Register — Ironvale Smelter Modernisation</w:t>
      </w:r>
      <w:bookmarkEnd w:id="20"/>
    </w:p>
    <w:p>
      <w:pPr>
        <w:pStyle w:val="FirstParagraph"/>
      </w:pPr>
      <w:r>
        <w:rPr>
          <w:b/>
        </w:rPr>
        <w:t xml:space="preserve">Project ID:</w:t>
      </w:r>
      <w:r>
        <w:t xml:space="preserve"> </w:t>
      </w:r>
      <w:r>
        <w:t xml:space="preserve">NW-IND-2110</w:t>
      </w:r>
      <w:r>
        <w:t xml:space="preserve"> </w:t>
      </w:r>
      <w:r>
        <w:rPr>
          <w:b/>
        </w:rPr>
        <w:t xml:space="preserve">Status snapshot:</w:t>
      </w:r>
      <w:r>
        <w:t xml:space="preserve"> </w:t>
      </w:r>
      <w:r>
        <w:t xml:space="preserve">End of project. All risks closed.</w:t>
      </w:r>
    </w:p>
    <w:tbl>
      <w:tblPr>
        <w:tblStyle w:val="Table"/>
        <w:tblW w:type="pct" w:w="4999.999999999999"/>
        <w:tblLook w:firstRow="1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Probability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R-001</w:t>
            </w:r>
          </w:p>
        </w:tc>
        <w:tc>
          <w:p>
            <w:pPr>
              <w:pStyle w:val="Compact"/>
              <w:jc w:val="left"/>
            </w:pPr>
            <w:r>
              <w:t xml:space="preserve">Technical</w:t>
            </w:r>
          </w:p>
        </w:tc>
        <w:tc>
          <w:p>
            <w:pPr>
              <w:pStyle w:val="Compact"/>
              <w:jc w:val="left"/>
            </w:pPr>
            <w:r>
              <w:t xml:space="preserve">Latent defects in 35-year-old facility may surface during demolition, requiring rework.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Mitigate — pre-demolition surveys, T&amp;M structure absorbs limited variation, client cost-share above threshold</w:t>
            </w:r>
          </w:p>
        </w:tc>
        <w:tc>
          <w:p>
            <w:pPr>
              <w:pStyle w:val="Compact"/>
              <w:jc w:val="left"/>
            </w:pPr>
            <w:r>
              <w:t xml:space="preserve">Engineering Lead</w:t>
            </w:r>
          </w:p>
        </w:tc>
        <w:tc>
          <w:p>
            <w:pPr>
              <w:pStyle w:val="Compact"/>
              <w:jc w:val="left"/>
            </w:pPr>
            <w:r>
              <w:t xml:space="preserve">Any structural or process discovery not in record drawings</w:t>
            </w:r>
          </w:p>
        </w:tc>
        <w:tc>
          <w:p>
            <w:pPr>
              <w:pStyle w:val="Compact"/>
              <w:jc w:val="left"/>
            </w:pPr>
            <w:r>
              <w:t xml:space="preserve">Closed (R-008 invoked for cracked bracket; one further item absorbed)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R-002</w:t>
            </w:r>
          </w:p>
        </w:tc>
        <w:tc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p>
            <w:pPr>
              <w:pStyle w:val="Compact"/>
              <w:jc w:val="left"/>
            </w:pPr>
            <w:r>
              <w:t xml:space="preserve">Furnace OEM delivery delay risk on Lines A and B.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Mitigate — early PO, expediting, qualified alternative OEM</w:t>
            </w:r>
          </w:p>
        </w:tc>
        <w:tc>
          <w:p>
            <w:pPr>
              <w:pStyle w:val="Compact"/>
              <w:jc w:val="left"/>
            </w:pPr>
            <w:r>
              <w:t xml:space="preserve">Procurement Manager</w:t>
            </w:r>
          </w:p>
        </w:tc>
        <w:tc>
          <w:p>
            <w:pPr>
              <w:pStyle w:val="Compact"/>
              <w:jc w:val="left"/>
            </w:pPr>
            <w:r>
              <w:t xml:space="preserve">OEM signals slip &gt; 3 weeks</w:t>
            </w:r>
          </w:p>
        </w:tc>
        <w:tc>
          <w:p>
            <w:pPr>
              <w:pStyle w:val="Compact"/>
              <w:jc w:val="left"/>
            </w:pPr>
            <w:r>
              <w:t xml:space="preserve">Closed (both deliveries on time)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R-003</w:t>
            </w:r>
          </w:p>
        </w:tc>
        <w:tc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p>
            <w:pPr>
              <w:pStyle w:val="Compact"/>
              <w:jc w:val="left"/>
            </w:pPr>
            <w:r>
              <w:t xml:space="preserve">Plant shutdown window for final tie-in exceeds 7 days.</w:t>
            </w:r>
          </w:p>
        </w:tc>
        <w:tc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Mitigate — dry runs, parallel work fronts, off-site pre-assembly</w:t>
            </w:r>
          </w:p>
        </w:tc>
        <w:tc>
          <w:p>
            <w:pPr>
              <w:pStyle w:val="Compact"/>
              <w:jc w:val="left"/>
            </w:pPr>
            <w:r>
              <w:t xml:space="preserve">Construction Manager</w:t>
            </w:r>
          </w:p>
        </w:tc>
        <w:tc>
          <w:p>
            <w:pPr>
              <w:pStyle w:val="Compact"/>
              <w:jc w:val="left"/>
            </w:pPr>
            <w:r>
              <w:t xml:space="preserve">Day-by-day tie-in plan slips &gt; 4 hours at any review</w:t>
            </w:r>
          </w:p>
        </w:tc>
        <w:tc>
          <w:p>
            <w:pPr>
              <w:pStyle w:val="Compact"/>
              <w:jc w:val="left"/>
            </w:pPr>
            <w:r>
              <w:t xml:space="preserve">Closed (tie-in completed in 6 days, 1 day ahead)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R-004</w:t>
            </w:r>
          </w:p>
        </w:tc>
        <w:tc>
          <w:p>
            <w:pPr>
              <w:pStyle w:val="Compact"/>
              <w:jc w:val="left"/>
            </w:pPr>
            <w:r>
              <w:t xml:space="preserve">Regulatory</w:t>
            </w:r>
          </w:p>
        </w:tc>
        <w:tc>
          <w:p>
            <w:pPr>
              <w:pStyle w:val="Compact"/>
              <w:jc w:val="left"/>
            </w:pPr>
            <w:r>
              <w:t xml:space="preserve">State Air Quality Rule 27 conditions tighten during project.</w:t>
            </w:r>
          </w:p>
        </w:tc>
        <w:tc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Accept — regular liaison, change-order vehicle</w:t>
            </w:r>
          </w:p>
        </w:tc>
        <w:tc>
          <w:p>
            <w:pPr>
              <w:pStyle w:val="Compact"/>
              <w:jc w:val="left"/>
            </w:pPr>
            <w:r>
              <w:t xml:space="preserve">Project Manager</w:t>
            </w:r>
          </w:p>
        </w:tc>
        <w:tc>
          <w:p>
            <w:pPr>
              <w:pStyle w:val="Compact"/>
              <w:jc w:val="left"/>
            </w:pPr>
            <w:r>
              <w:t xml:space="preserve">Regulator publishes amended conditions</w:t>
            </w:r>
          </w:p>
        </w:tc>
        <w:tc>
          <w:p>
            <w:pPr>
              <w:pStyle w:val="Compact"/>
              <w:jc w:val="left"/>
            </w:pPr>
            <w:r>
              <w:t xml:space="preserve">Closed (no change)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R-005</w:t>
            </w:r>
          </w:p>
        </w:tc>
        <w:tc>
          <w:p>
            <w:pPr>
              <w:pStyle w:val="Compact"/>
              <w:jc w:val="left"/>
            </w:pPr>
            <w:r>
              <w:t xml:space="preserve">Commercial</w:t>
            </w:r>
          </w:p>
        </w:tc>
        <w:tc>
          <w:p>
            <w:pPr>
              <w:pStyle w:val="Compact"/>
              <w:jc w:val="left"/>
            </w:pPr>
            <w:r>
              <w:t xml:space="preserve">Production interruption on Furnace Line C during construction.</w:t>
            </w:r>
          </w:p>
        </w:tc>
        <w:tc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Avoid — physical isolation, dedicated client liaison, daily coordination</w:t>
            </w:r>
          </w:p>
        </w:tc>
        <w:tc>
          <w:p>
            <w:pPr>
              <w:pStyle w:val="Compact"/>
              <w:jc w:val="left"/>
            </w:pPr>
            <w:r>
              <w:t xml:space="preserve">PM + Client Operations</w:t>
            </w:r>
          </w:p>
        </w:tc>
        <w:tc>
          <w:p>
            <w:pPr>
              <w:pStyle w:val="Compact"/>
              <w:jc w:val="left"/>
            </w:pPr>
            <w:r>
              <w:t xml:space="preserve">Any unplanned C-line stoppage tied to construction</w:t>
            </w:r>
          </w:p>
        </w:tc>
        <w:tc>
          <w:p>
            <w:pPr>
              <w:pStyle w:val="Compact"/>
              <w:jc w:val="left"/>
            </w:pPr>
            <w:r>
              <w:t xml:space="preserve">Closed (zero unplanned C-line interruptions)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R-006</w:t>
            </w:r>
          </w:p>
        </w:tc>
        <w:tc>
          <w:p>
            <w:pPr>
              <w:pStyle w:val="Compact"/>
              <w:jc w:val="left"/>
            </w:pPr>
            <w:r>
              <w:t xml:space="preserve">Safety / HSE</w:t>
            </w:r>
          </w:p>
        </w:tc>
        <w:tc>
          <w:p>
            <w:pPr>
              <w:pStyle w:val="Compact"/>
              <w:jc w:val="left"/>
            </w:pPr>
            <w:r>
              <w:t xml:space="preserve">Hot-work exposure during demolition of operating-adjacent equipment.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Mitigate — hot-work permit system, dedicated fire-watch, daily JSA</w:t>
            </w:r>
          </w:p>
        </w:tc>
        <w:tc>
          <w:p>
            <w:pPr>
              <w:pStyle w:val="Compact"/>
              <w:jc w:val="left"/>
            </w:pPr>
            <w:r>
              <w:t xml:space="preserve">HSE Lead</w:t>
            </w:r>
          </w:p>
        </w:tc>
        <w:tc>
          <w:p>
            <w:pPr>
              <w:pStyle w:val="Compact"/>
              <w:jc w:val="left"/>
            </w:pPr>
            <w:r>
              <w:t xml:space="preserve">Any hot-work permit non-compliance audit finding</w:t>
            </w:r>
          </w:p>
        </w:tc>
        <w:tc>
          <w:p>
            <w:pPr>
              <w:pStyle w:val="Compact"/>
              <w:jc w:val="left"/>
            </w:pPr>
            <w:r>
              <w:t xml:space="preserve">Closed (one minor finding addressed; zero incidents)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R-007</w:t>
            </w:r>
          </w:p>
        </w:tc>
        <w:tc>
          <w:p>
            <w:pPr>
              <w:pStyle w:val="Compact"/>
              <w:jc w:val="left"/>
            </w:pPr>
            <w:r>
              <w:t xml:space="preserve">Technical</w:t>
            </w:r>
          </w:p>
        </w:tc>
        <w:tc>
          <w:p>
            <w:pPr>
              <w:pStyle w:val="Compact"/>
              <w:jc w:val="left"/>
            </w:pPr>
            <w:r>
              <w:t xml:space="preserve">SCADA migration may introduce control upsets on Line C during cutover.</w:t>
            </w:r>
          </w:p>
        </w:tc>
        <w:tc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Mitigate — parallel running, rollback plan, staged cutover with manual fallback</w:t>
            </w:r>
          </w:p>
        </w:tc>
        <w:tc>
          <w:p>
            <w:pPr>
              <w:pStyle w:val="Compact"/>
              <w:jc w:val="left"/>
            </w:pPr>
            <w:r>
              <w:t xml:space="preserve">I&amp;C Lead</w:t>
            </w:r>
          </w:p>
        </w:tc>
        <w:tc>
          <w:p>
            <w:pPr>
              <w:pStyle w:val="Compact"/>
              <w:jc w:val="left"/>
            </w:pPr>
            <w:r>
              <w:t xml:space="preserve">Any control variance during parallel-run testing</w:t>
            </w:r>
          </w:p>
        </w:tc>
        <w:tc>
          <w:p>
            <w:pPr>
              <w:pStyle w:val="Compact"/>
              <w:jc w:val="left"/>
            </w:pPr>
            <w:r>
              <w:t xml:space="preserve">Closed (clean cutover)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R-008</w:t>
            </w:r>
          </w:p>
        </w:tc>
        <w:tc>
          <w:p>
            <w:pPr>
              <w:pStyle w:val="Compact"/>
              <w:jc w:val="left"/>
            </w:pPr>
            <w:r>
              <w:t xml:space="preserve">Technical</w:t>
            </w:r>
          </w:p>
        </w:tc>
        <w:tc>
          <w:p>
            <w:pPr>
              <w:pStyle w:val="Compact"/>
              <w:jc w:val="left"/>
            </w:pPr>
            <w:r>
              <w:t xml:space="preserve">Cracked structural bracket in Line A support frame discovered during demolition.</w:t>
            </w:r>
          </w:p>
        </w:tc>
        <w:tc>
          <w:p>
            <w:pPr>
              <w:pStyle w:val="Compact"/>
              <w:jc w:val="left"/>
            </w:pPr>
            <w:r>
              <w:t xml:space="preserve">(Triggered)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Mitigate — engineered around, structural recalc, client cost-share</w:t>
            </w:r>
          </w:p>
        </w:tc>
        <w:tc>
          <w:p>
            <w:pPr>
              <w:pStyle w:val="Compact"/>
              <w:jc w:val="left"/>
            </w:pPr>
            <w:r>
              <w:t xml:space="preserve">Engineering Lead</w:t>
            </w:r>
          </w:p>
        </w:tc>
        <w:tc>
          <w:p>
            <w:pPr>
              <w:pStyle w:val="Compact"/>
              <w:jc w:val="left"/>
            </w:pPr>
            <w:r>
              <w:t xml:space="preserve">Discovery during demolition</w:t>
            </w:r>
          </w:p>
        </w:tc>
        <w:tc>
          <w:p>
            <w:pPr>
              <w:pStyle w:val="Compact"/>
              <w:jc w:val="left"/>
            </w:pPr>
            <w:r>
              <w:t xml:space="preserve">Closed (engineered, CO-03 executed)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R-009</w:t>
            </w:r>
          </w:p>
        </w:tc>
        <w:tc>
          <w:p>
            <w:pPr>
              <w:pStyle w:val="Compact"/>
              <w:jc w:val="left"/>
            </w:pPr>
            <w:r>
              <w:t xml:space="preserve">People</w:t>
            </w:r>
          </w:p>
        </w:tc>
        <w:tc>
          <w:p>
            <w:pPr>
              <w:pStyle w:val="Compact"/>
              <w:jc w:val="left"/>
            </w:pPr>
            <w:r>
              <w:t xml:space="preserve">Client plant engineer reassignment would lose embedded coordination.</w:t>
            </w:r>
          </w:p>
        </w:tc>
        <w:tc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Accept — succession briefed via PM; project knowledge documented</w:t>
            </w:r>
          </w:p>
        </w:tc>
        <w:tc>
          <w:p>
            <w:pPr>
              <w:pStyle w:val="Compact"/>
              <w:jc w:val="left"/>
            </w:pPr>
            <w:r>
              <w:t xml:space="preserve">Project Manager</w:t>
            </w:r>
          </w:p>
        </w:tc>
        <w:tc>
          <w:p>
            <w:pPr>
              <w:pStyle w:val="Compact"/>
              <w:jc w:val="left"/>
            </w:pPr>
            <w:r>
              <w:t xml:space="preserve">Client communicates reassignment</w:t>
            </w:r>
          </w:p>
        </w:tc>
        <w:tc>
          <w:p>
            <w:pPr>
              <w:pStyle w:val="Compact"/>
              <w:jc w:val="left"/>
            </w:pPr>
            <w:r>
              <w:t xml:space="preserve">Closed (no reassignment)</w:t>
            </w:r>
          </w:p>
        </w:tc>
      </w:tr>
    </w:tbl>
    <w:p>
      <w:pPr>
        <w:pStyle w:val="Heading2"/>
      </w:pPr>
      <w:bookmarkStart w:id="21" w:name="lessons-logged"/>
      <w:r>
        <w:t xml:space="preserve">Lessons logged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Embedded client SME is a multiplier.</w:t>
      </w:r>
      <w:r>
        <w:t xml:space="preserve"> </w:t>
      </w:r>
      <w:r>
        <w:t xml:space="preserve">T. Hartnett’s daily presence accelerated decisions and reduced rework. Northwood should ask for this on every modernisation project where the client has the relevant expertise.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T&amp;M with a cap is the right contract structure for projects with high latent-condition risk.</w:t>
      </w:r>
      <w:r>
        <w:t xml:space="preserve"> </w:t>
      </w:r>
      <w:r>
        <w:t xml:space="preserve">Aligns incentives, allows scope to evolve in Engineering, contains client exposure. Should be a default consideration on facility-modernisation work.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 full plant shutdown is sometimes the cheapest path.</w:t>
      </w:r>
      <w:r>
        <w:t xml:space="preserve"> </w:t>
      </w:r>
      <w:r>
        <w:t xml:space="preserve">The client’s willingness to give us a full week was the single largest schedule contributor. Future modernisation bids should make the cost-benefit case for full shutdown openly with the client.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2026-05-18T20:06:33Z</dcterms:created>
  <dcterms:modified xsi:type="dcterms:W3CDTF">2026-05-18T20:06:33Z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