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rFonts w:ascii="Courier New" w:cs="Courier New" w:eastAsia="Courier New" w:hAnsi="Courier New"/>
          <w:b/>
          <w:bCs/>
          <w:color w:val="FF6600"/>
          <w:sz w:val="52"/>
          <w:szCs w:val="52"/>
        </w:rPr>
        <w:t xml:space="preserve">ATS — Agent Training System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b/>
          <w:bCs/>
          <w:color w:val="111111"/>
          <w:sz w:val="28"/>
          <w:szCs w:val="28"/>
        </w:rPr>
        <w:t xml:space="preserve">RESEARCH PROPOSAL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Behavioral Prior Acquisition in Structured Abstract Environments</w:t>
      </w:r>
    </w:p>
    <w:p>
      <w:pPr>
        <w:pBdr>
          <w:bottom w:val="single" w:color="FF6600" w:sz="4"/>
        </w:pBdr>
        <w:spacing w:after="180" w:before="1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Author: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Calcedony Sokomba Arial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Affiliation: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Independent Researcher, Abuja, Nigeria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System: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ATS v5.3 — Agent Training System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Date: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August 2026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color w:val="111111"/>
          <w:sz w:val="20"/>
          <w:szCs w:val="20"/>
        </w:rPr>
        <w:t xml:space="preserve">Status: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Active prototype — validation phase pending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1.  Research Problem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Training artificial agents to perform complex tasks typically requires either large datasets, substantial compute, or both. A recurring question in reinforcement learning research is whether agents can acquire transferable behavioral priors — generalizable habits and representations — through structured interaction with simulated environments, prior to being exposed to their target task.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question has practical implications: if abstract pre-training provides useful initialization, it could reduce the data and compute required to train agents on downstream tasks, particularly in low-resource settings.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Existing work on transfer in RL has primarily focused on visual environments (Minecraft, Crafter, Procgen) requiring GPU infrastructure and large-scale training. The question of whether transfer occurs in compact, state-based, CPU-trainable environments remains underexplored.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2.  Central Hypothesis</w:t>
      </w:r>
    </w:p>
    <w:p>
      <w:pPr>
        <w:pBdr>
          <w:left w:val="thick" w:color="FF6600" w:sz="16"/>
        </w:pBdr>
        <w:spacing w:after="140" w:before="140"/>
        <w:ind w:left="480"/>
      </w:pPr>
      <w:r>
        <w:rPr>
          <w:rFonts w:ascii="Calibri" w:cs="Calibri" w:eastAsia="Calibri" w:hAnsi="Calibri"/>
          <w:i/>
          <w:iCs/>
          <w:color w:val="111111"/>
          <w:sz w:val="22"/>
          <w:szCs w:val="22"/>
        </w:rPr>
        <w:t xml:space="preserve">H0 (Primary): An agent pre-trained in the ATS environment will achieve higher cumulative reward on a held-out transfer task within 50 episodes than an agent initialized from random weights on the same task.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Secondary hypotheses: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H1 — The ATS agent can learn stable navigation and resource-collection policies within 500 training episodes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H2 — The agent learns to respond to survival needs (hunger, injury) with appropriate actions at rates above chance within 200 episodes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H3 — Pre-trained agents demonstrate lower reward variance on the transfer task than untrained agents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H4 — The symbolic export layer produces a corpus that improves character-level language model perplexity on environment-domain text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3.  System Description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ATS is a custom reinforcement learning environment and training system. The agent operates inside a procedurally generated 2D tile world with seven biomes, 25 entity types, and survival mechanics. It perceives the world through a 126-dimensional numerical state vector and selects from 42 discrete actions. The policy is a two-layer MLP (126 → 256 → 256 → {42 actor, 1 critic}) trained via Proximal Policy Optimization with online (continual) updates every 64 ticks.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cognitive overlay — the Mind Architecture — provides structured access to a need detector and fingerprint-based experience memory. This is a heuristic layer, not a learned component. It is included to study whether structured memory access aids the RL policy in survival tasks.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runs on CPU-only hardware (Intel i5, 8GB RAM) and is implemented in Python 3.12 with PyTorch and Pygame. All training data is logged to CSV and TensorBoard.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4.  Experimental Plan</w:t>
      </w:r>
    </w:p>
    <w:p>
      <w:pPr>
        <w:pStyle w:val="Heading3"/>
        <w:spacing w:after="100" w:before="200"/>
      </w:pPr>
      <w:r>
        <w:rPr>
          <w:rFonts w:ascii="Courier New" w:cs="Courier New" w:eastAsia="Courier New" w:hAnsi="Courier New"/>
          <w:b/>
          <w:bCs/>
          <w:color w:val="111111"/>
          <w:sz w:val="26"/>
          <w:szCs w:val="26"/>
        </w:rPr>
        <w:t xml:space="preserve">Experiment 1 — Baseline Establishment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Purpose: confirm that the PPO agent outperforms a random action agent in the ATS environment.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Condition A: PPO agent, 500 episodes, standard reward function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Condition B: Random action agent, 500 episodes, same environment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Metric: cumulative reward per episode, survival duration, items collected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Success criterion: PPO agent achieves statistically higher mean reward (t-test, p &lt; 0.05) over final 100 episodes</w:t>
      </w:r>
    </w:p>
    <w:p>
      <w:pPr>
        <w:pStyle w:val="Heading3"/>
        <w:spacing w:after="100" w:before="200"/>
      </w:pPr>
      <w:r>
        <w:rPr>
          <w:rFonts w:ascii="Courier New" w:cs="Courier New" w:eastAsia="Courier New" w:hAnsi="Courier New"/>
          <w:b/>
          <w:bCs/>
          <w:color w:val="111111"/>
          <w:sz w:val="26"/>
          <w:szCs w:val="26"/>
        </w:rPr>
        <w:t xml:space="preserve">Experiment 2 — Survival Learning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Purpose: measure whether the agent learns hunger and injury avoidance.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Metric: proportion of episodes ending in hunger death vs. max-tick termination over 500 episodes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Secondary metric: mean health at episode end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Success criterion: hunger death rate below 20% by episode 400</w:t>
      </w:r>
    </w:p>
    <w:p>
      <w:pPr>
        <w:pStyle w:val="Heading3"/>
        <w:spacing w:after="100" w:before="200"/>
      </w:pPr>
      <w:r>
        <w:rPr>
          <w:rFonts w:ascii="Courier New" w:cs="Courier New" w:eastAsia="Courier New" w:hAnsi="Courier New"/>
          <w:b/>
          <w:bCs/>
          <w:color w:val="111111"/>
          <w:sz w:val="26"/>
          <w:szCs w:val="26"/>
        </w:rPr>
        <w:t xml:space="preserve">Experiment 3 — Transfer Learning (Primary)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Purpose: test the central hypothesis.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Phase A: pre-train agent on standard ATS world for 500 episodes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Phase B: evaluate pre-trained agent on a transfer world — different biome distribution, different item placement, fixed goal (collect 5 of a specified item)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Control: untrained agent evaluated on the same transfer world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Metric: cumulative reward per episode over 50 transfer episodes, episodes-to-threshold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Success criterion: pre-trained agent reaches reward threshold in fewer episodes (p &lt; 0.05)</w:t>
      </w:r>
    </w:p>
    <w:p>
      <w:pPr>
        <w:pStyle w:val="Heading3"/>
        <w:spacing w:after="100" w:before="200"/>
      </w:pPr>
      <w:r>
        <w:rPr>
          <w:rFonts w:ascii="Courier New" w:cs="Courier New" w:eastAsia="Courier New" w:hAnsi="Courier New"/>
          <w:b/>
          <w:bCs/>
          <w:color w:val="111111"/>
          <w:sz w:val="26"/>
          <w:szCs w:val="26"/>
        </w:rPr>
        <w:t xml:space="preserve">Experiment 4 — Cognitive Overlay Ablation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Purpose: determine whether the Mind Architecture contributes to performance or adds noise.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Condition A: full system (PPO + Mind Architecture)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Condition B: policy-only (PPO, no need detector, no experience memory)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Metric: cumulative reward, hunger death rate, episode survival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This experiment will determine whether the cognitive overlay is worth the added complexity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5.  Current Results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Preliminary training runs of 100+ episodes have been completed. All recorded episodes in short-horizon runs (100 ticks) terminated at max ticks, indicating the agent does not immediately collapse. Reward per episode has ranged from approximately +16 to +48 across monitored sessions. No statistically significant learning trend has been established at this sample size — this is expected and does not indicate a failure of the system.</w:t>
      </w:r>
    </w:p>
    <w:p>
      <w:pPr>
        <w:spacing w:after="10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 behavioral observation of note: when movement directions are disabled mid-run via the GUI, the agent adjusts its action distribution away from the penalized standing-still state within several ticks, suggesting the policy does respond to changes in the reward landscape.</w:t>
      </w:r>
    </w:p>
    <w:p>
      <w:pPr>
        <w:pBdr>
          <w:left w:val="thick" w:color="FF6600" w:sz="12"/>
        </w:pBdr>
        <w:spacing w:after="100" w:before="100"/>
        <w:ind w:left="480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No claim of demonstrated learning is made at this stage. The above observations establish that the training loop is functional and that the agent is not trivially failing.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6.  Related Work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Sutton &amp; Barto (2018) — foundational RL framework; PPO policy gradient methods (Schulman et al., 2017)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MiniGrid (Chevalier-Boisvert et al., 2018) — lightweight grid-world RL; ATS extends mechanics significantly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Crafter (Hafner, 2021) — closest comparable open-world 2D RL environment; requires visual input and GPU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NetHack Learning Environment (Küttler et al., 2020) — tile-based, procedural; ATS is custom-built and lighter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Procgen (Cobbe et al., 2019) — procedural generation for generalization; demonstrates value of procedural environments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Symbol grounding problem (Harnad, 1990) — relevant to the Virus integration and symbolic dictionary layer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7.  Resources Required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Compute: current hardware (i5, 8GB RAM) is sufficient for experiments 1–2; experiment 3 would benefit from faster CPU or multi-core parallelism for running multiple seeds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Time: experiments 1–3 estimated at 40–80 hours of training time on current hardware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Software: all open-source, already installed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What would accelerate progress: access to a machine with more CPU cores, or a small compute grant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8.  Limitations and Honest Assessment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No GPU — training is slower than comparable published work; this limits scale but not the validity of the experimental design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Solo development — no peer review of the codebase or experimental design to date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The environment is simple relative to Minecraft or NetHack — results may not generalize to more complex domains</w:t>
      </w:r>
    </w:p>
    <w:p>
      <w:pPr>
        <w:spacing w:after="50" w:before="50"/>
        <w:ind w:left="360"/>
      </w:pPr>
      <w:r>
        <w:rPr>
          <w:rFonts w:ascii="Courier New" w:cs="Courier New" w:eastAsia="Courier New" w:hAnsi="Courier New"/>
          <w:b/>
          <w:bCs/>
          <w:color w:val="FF6600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Transfer learning may not occur — if Experiment 3 returns a null result, it will be reported as such and treated as a meaningful finding about the limits of abstract pre-training</w:t>
      </w:r>
    </w:p>
    <w:p>
      <w:pPr>
        <w:pBdr>
          <w:bottom w:val="single" w:color="FF6600" w:sz="4"/>
        </w:pBdr>
        <w:spacing w:after="180" w:before="180"/>
      </w:pPr>
    </w:p>
    <w:p>
      <w:pPr>
        <w:pStyle w:val="Heading1"/>
        <w:spacing w:after="100" w:before="360"/>
      </w:pPr>
      <w:r>
        <w:rPr>
          <w:rFonts w:ascii="Courier New" w:cs="Courier New" w:eastAsia="Courier New" w:hAnsi="Courier New"/>
          <w:b/>
          <w:bCs/>
          <w:color w:val="FF6600"/>
          <w:sz w:val="48"/>
          <w:szCs w:val="48"/>
        </w:rPr>
        <w:t xml:space="preserve">9.  Timeline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4450"/>
      </w:tblGrid>
      <w:tr>
        <w:tc>
          <w:tcPr>
            <w:tcW w:type="dxa" w:w="4450"/>
            <w:shd w:fill="1A1A1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F6600"/>
                <w:sz w:val="18"/>
                <w:szCs w:val="18"/>
              </w:rPr>
              <w:t xml:space="preserve">Milestone</w:t>
            </w:r>
          </w:p>
        </w:tc>
        <w:tc>
          <w:tcPr>
            <w:tcW w:type="dxa" w:w="4450"/>
            <w:shd w:fill="1A1A1A" w:val="clear"/>
          </w:tcPr>
          <w:p>
            <w:r>
              <w:rPr>
                <w:rFonts w:ascii="Courier New" w:cs="Courier New" w:eastAsia="Courier New" w:hAnsi="Courier New"/>
                <w:b/>
                <w:bCs/>
                <w:color w:val="FF6600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Experiment 1 — Baseline (500 ep)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Within 4 weeks</w:t>
            </w:r>
          </w:p>
        </w:tc>
      </w:tr>
      <w:tr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Experiment 2 — Survival learning (500 ep)</w:t>
            </w:r>
          </w:p>
        </w:tc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Within 4 weeks (parallel)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Experiment 3 — Transfer task design + run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Within 8 weeks</w:t>
            </w:r>
          </w:p>
        </w:tc>
      </w:tr>
      <w:tr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Experiment 4 — Ablation study</w:t>
            </w:r>
          </w:p>
        </w:tc>
        <w:tc>
          <w:tcPr>
            <w:tcW w:type="dxa" w:w="4450"/>
            <w:shd w:fill="FFFFFF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Within 10 weeks</w:t>
            </w:r>
          </w:p>
        </w:tc>
      </w:tr>
      <w:tr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First written results report</w:t>
            </w:r>
          </w:p>
        </w:tc>
        <w:tc>
          <w:tcPr>
            <w:tcW w:type="dxa" w:w="4450"/>
            <w:shd w:fill="F9F9F6" w:val="clear"/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Within 12 weeks</w:t>
            </w:r>
          </w:p>
        </w:tc>
      </w:tr>
    </w:tbl>
    <w:p>
      <w:pPr>
        <w:spacing w:before="160"/>
      </w:pPr>
    </w:p>
    <w:p>
      <w:pPr>
        <w:pBdr>
          <w:bottom w:val="single" w:color="FF6600" w:sz="4"/>
        </w:pBdr>
        <w:spacing w:after="180" w:before="180"/>
      </w:pPr>
    </w:p>
    <w:p>
      <w:pPr>
        <w:spacing w:before="20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Calcedony Sokomba Arial  ·  Independent Researcher  ·  Abuja, Nigeria  ·  August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2026-08-23T00:23:41.110Z</dcterms:created>
  <dcterms:modified xsi:type="dcterms:W3CDTF">2026-08-23T00:23:41.111Z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