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Courier New" w:cs="Courier New" w:eastAsia="Courier New" w:hAnsi="Courier New"/>
          <w:b/>
          <w:bCs/>
          <w:color w:val="FF6600"/>
          <w:sz w:val="96"/>
          <w:szCs w:val="96"/>
        </w:rPr>
        <w:t xml:space="preserve">ATS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111111"/>
          <w:sz w:val="28"/>
          <w:szCs w:val="28"/>
        </w:rPr>
        <w:t xml:space="preserve">AGENT TRAINING SYSTEM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Executive Brief  ·  August 2026  ·  Calcedony Sokomba Arial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2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32"/>
          <w:szCs w:val="32"/>
        </w:rPr>
        <w:t xml:space="preserve">What It Is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ATS is a reinforcement learning environment built from scratch by an independent researcher, designed to run on a standard laptop without a GPU. An AI agent lives inside a procedurally generated 2D world — seven biomes, 25 entity types, a crafting system, day/night cycle, and survival mechanics — and learns through interaction rather than from a pre-existing dataset.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is currently at version 5.3, with a working training loop, a live Mission Control dashboard, episode logging, and over 100 training sessions completed to date.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2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32"/>
          <w:szCs w:val="32"/>
        </w:rPr>
        <w:t xml:space="preserve">The Research Question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Can an agent that learns behavioral policies inside a structured, abstract environment develop reusable habits that reduce learning time on related tasks — compared to starting from nothing?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an open question in reinforcement learning research. ATS is a platform for investigating it on accessible hardware. The hypothesis is not yet proven. The infrastructure to test it is built and running.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2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32"/>
          <w:szCs w:val="32"/>
        </w:rPr>
        <w:t xml:space="preserve">Why It Matters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Most AI research requires compute infrastructure that costs tens of thousands of dollars. ATS runs on an i5 laptop with 8GB of RAM — no cloud, no GPU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Independent researchers in developing countries are excluded from frontier AI work almost entirely. ATS is an attempt to close that gap from the inside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cognitive architecture layer — need detection, experience memory, behavioral recall — is a practical exploration of how structure can complement learned policy in embodied agents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working bridge to an external language model (Virus) is in place, with a planned future direction toward agents that can narrate their own reasoning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2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32"/>
          <w:szCs w:val="32"/>
        </w:rPr>
        <w:t xml:space="preserve">Current Status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4450"/>
      </w:tblGrid>
      <w:tr>
        <w:tc>
          <w:tcPr>
            <w:tcW w:type="dxa" w:w="4450"/>
            <w:shd w:fill="1A1A1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F66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4450"/>
            <w:shd w:fill="1A1A1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F660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Procedural world (7 biomes, 25 entities, crafting)</w:t>
            </w:r>
          </w:p>
        </w:tc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PPO policy network with action masking</w:t>
            </w:r>
          </w:p>
        </w:tc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Live Mission Control GUI with graphs</w:t>
            </w:r>
          </w:p>
        </w:tc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Mind architecture (need detector, experience memory)</w:t>
            </w:r>
          </w:p>
        </w:tc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 Functional</w:t>
            </w:r>
          </w:p>
        </w:tc>
      </w:tr>
      <w:tr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Continual learning (online PPO updates)</w:t>
            </w:r>
          </w:p>
        </w:tc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Episode CSV logging + TensorBoard</w:t>
            </w:r>
          </w:p>
        </w:tc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Baseline comparison experiments</w:t>
            </w:r>
          </w:p>
        </w:tc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⏳  Planned — Phase 4</w:t>
            </w:r>
          </w:p>
        </w:tc>
      </w:tr>
      <w:tr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Transfer learning validation</w:t>
            </w:r>
          </w:p>
        </w:tc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⏳  Planned — Phase 4</w:t>
            </w:r>
          </w:p>
        </w:tc>
      </w:tr>
      <w:tr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Virus language model integration (bidirectional)</w:t>
            </w:r>
          </w:p>
        </w:tc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⏳  Planned — Phase 5</w:t>
            </w:r>
          </w:p>
        </w:tc>
      </w:tr>
    </w:tbl>
    <w:p>
      <w:pPr>
        <w:spacing w:before="160"/>
      </w:pPr>
    </w:p>
    <w:p>
      <w:pPr>
        <w:pBdr>
          <w:bottom w:val="single" w:color="FF6600" w:sz="4"/>
        </w:pBdr>
        <w:spacing w:after="180" w:before="180"/>
      </w:pPr>
    </w:p>
    <w:p>
      <w:pPr>
        <w:pStyle w:val="Heading2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32"/>
          <w:szCs w:val="32"/>
        </w:rPr>
        <w:t xml:space="preserve">What Is Being Sought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Compute access — longer training runs (500–2,000 episodes) on hardware faster than a single CPU core would significantly accelerate the validation phase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Research feedback — input from anyone working in RL, embodied AI, or cognitive architectures on experimental design and methodology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Collaboration — a technical partner, research mentor, or institutional affiliation that could support the transition from prototype to validated research contribution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Visibility — platforms, communities, or individuals who might find this work relevant and help route it to the right people</w:t>
      </w:r>
    </w:p>
    <w:p>
      <w:pPr>
        <w:pBdr>
          <w:bottom w:val="single" w:color="FF6600" w:sz="4"/>
        </w:pBdr>
        <w:spacing w:after="180" w:before="18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Full technical dossier available on request.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Calcedony Sokomba Arial  ·  Independent AI Research  ·  Abuja, Nigeria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2026-08-23T00:23:41.060Z</dcterms:created>
  <dcterms:modified xsi:type="dcterms:W3CDTF">2026-08-23T00:23:41.072Z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