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74C"/>
          <w:sz w:val="36"/>
        </w:rPr>
        <w:t>AUTOMATED SOFTWARE TESTING REPORT</w:t>
      </w:r>
    </w:p>
    <w:p>
      <w:pPr>
        <w:jc w:val="center"/>
      </w:pPr>
      <w:r>
        <w:rPr>
          <w:b/>
          <w:sz w:val="22"/>
        </w:rPr>
        <w:t>Web-Based Government Contracts Information System with Authenticity Verification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Test type</w:t>
            </w:r>
          </w:p>
        </w:tc>
        <w:tc>
          <w:tcPr>
            <w:tcW w:type="dxa" w:w="5040"/>
          </w:tcPr>
          <w:p>
            <w:r>
              <w:t>Automated Django regression testing</w:t>
            </w:r>
          </w:p>
        </w:tc>
      </w:tr>
      <w:tr>
        <w:tc>
          <w:tcPr>
            <w:tcW w:type="dxa" w:w="5040"/>
            <w:shd w:fill="D9EAF7"/>
          </w:tcPr>
          <w:p>
            <w:r>
              <w:rPr>
                <w:b/>
              </w:rPr>
              <w:t>Execution date</w:t>
            </w:r>
          </w:p>
        </w:tc>
        <w:tc>
          <w:tcPr>
            <w:tcW w:type="dxa" w:w="5040"/>
          </w:tcPr>
          <w:p>
            <w:r>
              <w:t>September 1, 2026</w:t>
            </w:r>
          </w:p>
        </w:tc>
      </w:tr>
      <w:tr>
        <w:tc>
          <w:tcPr>
            <w:tcW w:type="dxa" w:w="5040"/>
            <w:shd w:fill="D9EAF7"/>
          </w:tcPr>
          <w:p>
            <w:r>
              <w:rPr>
                <w:b/>
              </w:rPr>
              <w:t>Runtime environment</w:t>
            </w:r>
          </w:p>
        </w:tc>
        <w:tc>
          <w:tcPr>
            <w:tcW w:type="dxa" w:w="5040"/>
          </w:tcPr>
          <w:p>
            <w:r>
              <w:t>Python 3.14.5; Django 5.2.16; SQLite in-memory test database</w:t>
            </w:r>
          </w:p>
        </w:tc>
      </w:tr>
      <w:tr>
        <w:tc>
          <w:tcPr>
            <w:tcW w:type="dxa" w:w="5040"/>
            <w:shd w:fill="D9EAF7"/>
          </w:tcPr>
          <w:p>
            <w:r>
              <w:rPr>
                <w:b/>
              </w:rPr>
              <w:t>Result</w:t>
            </w:r>
          </w:p>
        </w:tc>
        <w:tc>
          <w:tcPr>
            <w:tcW w:type="dxa" w:w="5040"/>
          </w:tcPr>
          <w:p>
            <w:r>
              <w:t>10 passed, 0 failed, 0 errors</w:t>
            </w:r>
          </w:p>
        </w:tc>
      </w:tr>
    </w:tbl>
    <w:p>
      <w:pPr>
        <w:pStyle w:val="Heading1"/>
        <w:spacing w:before="200" w:after="100"/>
      </w:pPr>
      <w:r>
        <w:t>1. Purpose</w:t>
      </w:r>
    </w:p>
    <w:p>
      <w:r>
        <w:t>This report documents the automated tests executed against the Django application. The tests serve as regression checks for selected audit logging, dashboard, document verification, version control, folder organization, and user-interface behaviors. Their purpose is to detect whether a later code change breaks behavior that previously worked.</w:t>
      </w:r>
    </w:p>
    <w:p>
      <w:pPr>
        <w:pStyle w:val="Heading1"/>
        <w:spacing w:before="200" w:after="100"/>
      </w:pPr>
      <w:r>
        <w:t>2. What Django tests.py Is</w:t>
      </w:r>
    </w:p>
    <w:p>
      <w:r>
        <w:t>The contracts/tests.py file contains automated test cases for the contracts Django app. Django discovers methods whose names begin with test_. Each method prepares controlled data, performs an action through application functions or Django's test client, and compares the actual result with an expected result through assertions.</w:t>
      </w:r>
    </w:p>
    <w:p>
      <w:r>
        <w:t>Before execution, Django creates a separate temporary test database and applies the required migrations. The tests use this isolated database instead of the operational database. After execution, Django destroys the temporary database. This prevents the automated tests from changing the system's actual contract and user records.</w:t>
      </w:r>
    </w:p>
    <w:p>
      <w:pPr>
        <w:pStyle w:val="Heading1"/>
        <w:spacing w:before="200" w:after="100"/>
      </w:pPr>
      <w:r>
        <w:t>3. Test Procedure</w:t>
      </w:r>
    </w:p>
    <w:p>
      <w:pPr>
        <w:pStyle w:val="ListBullet"/>
      </w:pPr>
      <w:r>
        <w:t>Set DEBUG=False for the test process because Django requires a Boolean value.</w:t>
      </w:r>
    </w:p>
    <w:p>
      <w:pPr>
        <w:pStyle w:val="ListBullet"/>
      </w:pPr>
      <w:r>
        <w:t>Run python manage.py check to validate the Django configuration.</w:t>
      </w:r>
    </w:p>
    <w:p>
      <w:pPr>
        <w:pStyle w:val="ListBullet"/>
      </w:pPr>
      <w:r>
        <w:t>Run python manage.py test --verbosity 2 to discover and execute all test methods.</w:t>
      </w:r>
    </w:p>
    <w:p>
      <w:pPr>
        <w:pStyle w:val="ListBullet"/>
      </w:pPr>
      <w:r>
        <w:t>Allow Django to create an isolated in-memory SQLite database and apply all migrations.</w:t>
      </w:r>
    </w:p>
    <w:p>
      <w:pPr>
        <w:pStyle w:val="ListBullet"/>
      </w:pPr>
      <w:r>
        <w:t>Review each assertion result and the final test summary.</w:t>
      </w:r>
    </w:p>
    <w:p>
      <w:pPr>
        <w:pStyle w:val="ListBullet"/>
      </w:pPr>
      <w:r>
        <w:t>Confirm that the temporary database is destroyed after the run.</w:t>
      </w:r>
    </w:p>
    <w:p>
      <w:r>
        <w:rPr>
          <w:b/>
        </w:rPr>
        <w:t>Commands used:</w:t>
        <w:br/>
      </w:r>
      <w:r>
        <w:rPr>
          <w:rFonts w:ascii="Consolas" w:hAnsi="Consolas"/>
          <w:sz w:val="18"/>
        </w:rPr>
        <w:t>$env:DEBUG='False'</w:t>
        <w:br/>
        <w:t>python manage.py check</w:t>
        <w:br/>
        <w:t>python manage.py test --verbosity 2</w:t>
      </w:r>
    </w:p>
    <w:p>
      <w:pPr>
        <w:pStyle w:val="Heading1"/>
        <w:spacing w:before="200" w:after="100"/>
      </w:pPr>
      <w:r>
        <w:t>4. Automated Test Cases and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944"/>
            <w:vAlign w:val="center"/>
            <w:shd w:fill="1F4E78"/>
          </w:tcPr>
          <w:p>
            <w:pPr>
              <w:jc w:val="center"/>
            </w:pPr>
            <w:r>
              <w:rPr>
                <w:b/>
                <w:color w:val="FFFFFF"/>
              </w:rPr>
              <w:t>ID / Test</w:t>
            </w:r>
          </w:p>
        </w:tc>
        <w:tc>
          <w:tcPr>
            <w:tcW w:type="dxa" w:w="3024"/>
            <w:vAlign w:val="center"/>
            <w:shd w:fill="1F4E78"/>
          </w:tcPr>
          <w:p>
            <w:pPr>
              <w:jc w:val="center"/>
            </w:pPr>
            <w:r>
              <w:rPr>
                <w:b/>
                <w:color w:val="FFFFFF"/>
              </w:rPr>
              <w:t>Method</w:t>
            </w:r>
          </w:p>
        </w:tc>
        <w:tc>
          <w:tcPr>
            <w:tcW w:type="dxa" w:w="3096"/>
            <w:vAlign w:val="center"/>
            <w:shd w:fill="1F4E78"/>
          </w:tcPr>
          <w:p>
            <w:pPr>
              <w:jc w:val="center"/>
            </w:pPr>
            <w:r>
              <w:rPr>
                <w:b/>
                <w:color w:val="FFFFFF"/>
              </w:rPr>
              <w:t>Expected result</w:t>
            </w:r>
          </w:p>
        </w:tc>
        <w:tc>
          <w:tcPr>
            <w:tcW w:type="dxa" w:w="3096"/>
            <w:vAlign w:val="center"/>
            <w:shd w:fill="1F4E78"/>
          </w:tcPr>
          <w:p>
            <w:pPr>
              <w:jc w:val="center"/>
            </w:pPr>
            <w:r>
              <w:rPr>
                <w:b/>
                <w:color w:val="FFFFFF"/>
              </w:rPr>
              <w:t>Actual result</w:t>
            </w:r>
          </w:p>
        </w:tc>
        <w:tc>
          <w:tcPr>
            <w:tcW w:type="dxa" w:w="936"/>
            <w:vAlign w:val="center"/>
            <w:shd w:fill="1F4E78"/>
          </w:tcPr>
          <w:p>
            <w:pPr>
              <w:jc w:val="center"/>
            </w:pPr>
            <w:r>
              <w:rPr>
                <w:b/>
                <w:color w:val="FFFFFF"/>
              </w:rPr>
              <w:t>Status</w:t>
            </w:r>
          </w:p>
        </w:tc>
      </w:tr>
      <w:tr>
        <w:tc>
          <w:tcPr>
            <w:tcW w:type="dxa" w:w="1944"/>
            <w:vAlign w:val="top"/>
          </w:tcPr>
          <w:p>
            <w:r>
              <w:rPr>
                <w:b/>
              </w:rPr>
              <w:t>AT-01</w:t>
              <w:br/>
              <w:t>Audit-log retention after permanent deletion</w:t>
            </w:r>
          </w:p>
        </w:tc>
        <w:tc>
          <w:tcPr>
            <w:tcW w:type="dxa" w:w="3024"/>
            <w:vAlign w:val="top"/>
          </w:tcPr>
          <w:p>
            <w:r>
              <w:t>Create a contract and audit entry, permanently delete the contract, then query the retained audit records.</w:t>
            </w:r>
          </w:p>
        </w:tc>
        <w:tc>
          <w:tcPr>
            <w:tcW w:type="dxa" w:w="3096"/>
            <w:vAlign w:val="top"/>
          </w:tcPr>
          <w:p>
            <w:r>
              <w:t>The contract is deleted while its title remains available in both related audit records.</w:t>
            </w:r>
          </w:p>
        </w:tc>
        <w:tc>
          <w:tcPr>
            <w:tcW w:type="dxa" w:w="3096"/>
            <w:vAlign w:val="top"/>
          </w:tcPr>
          <w:p>
            <w:r>
              <w:t>The contract is deleted while its title remains available in both related audit records.</w:t>
            </w:r>
          </w:p>
        </w:tc>
        <w:tc>
          <w:tcPr>
            <w:tcW w:type="dxa" w:w="936"/>
            <w:vAlign w:val="top"/>
          </w:tcPr>
          <w:p>
            <w:pPr>
              <w:jc w:val="center"/>
            </w:pPr>
            <w:r>
              <w:rPr>
                <w:b/>
                <w:color w:val="00703C"/>
              </w:rPr>
              <w:t>Passed</w:t>
            </w:r>
          </w:p>
        </w:tc>
      </w:tr>
      <w:tr>
        <w:tc>
          <w:tcPr>
            <w:tcW w:type="dxa" w:w="1944"/>
            <w:vAlign w:val="top"/>
          </w:tcPr>
          <w:p>
            <w:r>
              <w:rPr>
                <w:b/>
              </w:rPr>
              <w:t>AT-02</w:t>
              <w:br/>
              <w:t>Dashboard filtering and chronological sorting</w:t>
            </w:r>
          </w:p>
        </w:tc>
        <w:tc>
          <w:tcPr>
            <w:tcW w:type="dxa" w:w="3024"/>
            <w:vAlign w:val="top"/>
          </w:tcPr>
          <w:p>
            <w:r>
              <w:t>Create Added and Edited audit entries at controlled times; request only Added activity sorted oldest first.</w:t>
            </w:r>
          </w:p>
        </w:tc>
        <w:tc>
          <w:tcPr>
            <w:tcW w:type="dxa" w:w="3096"/>
            <w:vAlign w:val="top"/>
          </w:tcPr>
          <w:p>
            <w:r>
              <w:t>Only Added entries are returned, ordered from oldest to newest.</w:t>
            </w:r>
          </w:p>
        </w:tc>
        <w:tc>
          <w:tcPr>
            <w:tcW w:type="dxa" w:w="3096"/>
            <w:vAlign w:val="top"/>
          </w:tcPr>
          <w:p>
            <w:r>
              <w:t>Only Added entries are returned, ordered from oldest to newest.</w:t>
            </w:r>
          </w:p>
        </w:tc>
        <w:tc>
          <w:tcPr>
            <w:tcW w:type="dxa" w:w="936"/>
            <w:vAlign w:val="top"/>
          </w:tcPr>
          <w:p>
            <w:pPr>
              <w:jc w:val="center"/>
            </w:pPr>
            <w:r>
              <w:rPr>
                <w:b/>
                <w:color w:val="00703C"/>
              </w:rPr>
              <w:t>Passed</w:t>
            </w:r>
          </w:p>
        </w:tc>
      </w:tr>
      <w:tr>
        <w:tc>
          <w:tcPr>
            <w:tcW w:type="dxa" w:w="1944"/>
            <w:vAlign w:val="top"/>
          </w:tcPr>
          <w:p>
            <w:r>
              <w:rPr>
                <w:b/>
              </w:rPr>
              <w:t>AT-03</w:t>
              <w:br/>
              <w:t>Dashboard pagination and filter preservation</w:t>
            </w:r>
          </w:p>
        </w:tc>
        <w:tc>
          <w:tcPr>
            <w:tcW w:type="dxa" w:w="3024"/>
            <w:vAlign w:val="top"/>
          </w:tcPr>
          <w:p>
            <w:r>
              <w:t>Create 25 deletion records and request page 2 with 10 items per page and active filter parameters.</w:t>
            </w:r>
          </w:p>
        </w:tc>
        <w:tc>
          <w:tcPr>
            <w:tcW w:type="dxa" w:w="3096"/>
            <w:vAlign w:val="top"/>
          </w:tcPr>
          <w:p>
            <w:r>
              <w:t>Page 2 contains 10 records; the total is 25; pagination links preserve the selected controls.</w:t>
            </w:r>
          </w:p>
        </w:tc>
        <w:tc>
          <w:tcPr>
            <w:tcW w:type="dxa" w:w="3096"/>
            <w:vAlign w:val="top"/>
          </w:tcPr>
          <w:p>
            <w:r>
              <w:t>Page 2 contains 10 records; the total is 25; pagination links preserve the selected controls.</w:t>
            </w:r>
          </w:p>
        </w:tc>
        <w:tc>
          <w:tcPr>
            <w:tcW w:type="dxa" w:w="936"/>
            <w:vAlign w:val="top"/>
          </w:tcPr>
          <w:p>
            <w:pPr>
              <w:jc w:val="center"/>
            </w:pPr>
            <w:r>
              <w:rPr>
                <w:b/>
                <w:color w:val="00703C"/>
              </w:rPr>
              <w:t>Passed</w:t>
            </w:r>
          </w:p>
        </w:tc>
      </w:tr>
      <w:tr>
        <w:tc>
          <w:tcPr>
            <w:tcW w:type="dxa" w:w="1944"/>
            <w:vAlign w:val="top"/>
          </w:tcPr>
          <w:p>
            <w:r>
              <w:rPr>
                <w:b/>
              </w:rPr>
              <w:t>AT-04</w:t>
              <w:br/>
              <w:t>Debounced document search interface</w:t>
            </w:r>
          </w:p>
        </w:tc>
        <w:tc>
          <w:tcPr>
            <w:tcW w:type="dxa" w:w="3024"/>
            <w:vAlign w:val="top"/>
          </w:tcPr>
          <w:p>
            <w:r>
              <w:t>Request the authenticated contract list and inspect the rendered search-control JavaScript.</w:t>
            </w:r>
          </w:p>
        </w:tc>
        <w:tc>
          <w:tcPr>
            <w:tcW w:type="dxa" w:w="3096"/>
            <w:vAlign w:val="top"/>
          </w:tcPr>
          <w:p>
            <w:r>
              <w:t>The page invokes scheduled filtering and uses a 350 ms debounce delay.</w:t>
            </w:r>
          </w:p>
        </w:tc>
        <w:tc>
          <w:tcPr>
            <w:tcW w:type="dxa" w:w="3096"/>
            <w:vAlign w:val="top"/>
          </w:tcPr>
          <w:p>
            <w:r>
              <w:t>The page invokes scheduled filtering and uses a 350 ms debounce delay.</w:t>
            </w:r>
          </w:p>
        </w:tc>
        <w:tc>
          <w:tcPr>
            <w:tcW w:type="dxa" w:w="936"/>
            <w:vAlign w:val="top"/>
          </w:tcPr>
          <w:p>
            <w:pPr>
              <w:jc w:val="center"/>
            </w:pPr>
            <w:r>
              <w:rPr>
                <w:b/>
                <w:color w:val="00703C"/>
              </w:rPr>
              <w:t>Passed</w:t>
            </w:r>
          </w:p>
        </w:tc>
      </w:tr>
      <w:tr>
        <w:tc>
          <w:tcPr>
            <w:tcW w:type="dxa" w:w="1944"/>
            <w:vAlign w:val="top"/>
          </w:tcPr>
          <w:p>
            <w:r>
              <w:rPr>
                <w:b/>
              </w:rPr>
              <w:t>AT-05</w:t>
              <w:br/>
              <w:t>Public verification fingerprint lookup</w:t>
            </w:r>
          </w:p>
        </w:tc>
        <w:tc>
          <w:tcPr>
            <w:tcW w:type="dxa" w:w="3024"/>
            <w:vAlign w:val="top"/>
          </w:tcPr>
          <w:p>
            <w:r>
              <w:t>Upload a valid minimal PDF while isolating auxiliary operations and supplying a known canonical fingerprint.</w:t>
            </w:r>
          </w:p>
        </w:tc>
        <w:tc>
          <w:tcPr>
            <w:tcW w:type="dxa" w:w="3096"/>
            <w:vAlign w:val="top"/>
          </w:tcPr>
          <w:p>
            <w:r>
              <w:t>Verification performs a direct fingerprint lookup, redirects normally, and records a Viewed audit event for the matching contract.</w:t>
            </w:r>
          </w:p>
        </w:tc>
        <w:tc>
          <w:tcPr>
            <w:tcW w:type="dxa" w:w="3096"/>
            <w:vAlign w:val="top"/>
          </w:tcPr>
          <w:p>
            <w:r>
              <w:t>Verification performs a direct fingerprint lookup, redirects normally, and records a Viewed audit event for the matching contract.</w:t>
            </w:r>
          </w:p>
        </w:tc>
        <w:tc>
          <w:tcPr>
            <w:tcW w:type="dxa" w:w="936"/>
            <w:vAlign w:val="top"/>
          </w:tcPr>
          <w:p>
            <w:pPr>
              <w:jc w:val="center"/>
            </w:pPr>
            <w:r>
              <w:rPr>
                <w:b/>
                <w:color w:val="00703C"/>
              </w:rPr>
              <w:t>Passed</w:t>
            </w:r>
          </w:p>
        </w:tc>
      </w:tr>
      <w:tr>
        <w:tc>
          <w:tcPr>
            <w:tcW w:type="dxa" w:w="1944"/>
            <w:vAlign w:val="top"/>
          </w:tcPr>
          <w:p>
            <w:r>
              <w:rPr>
                <w:b/>
              </w:rPr>
              <w:t>AT-06</w:t>
              <w:br/>
              <w:t>Filename-based demonstration mode</w:t>
            </w:r>
          </w:p>
        </w:tc>
        <w:tc>
          <w:tcPr>
            <w:tcW w:type="dxa" w:w="3024"/>
            <w:vAlign w:val="top"/>
          </w:tcPr>
          <w:p>
            <w:r>
              <w:t>Upload a demonstration PDF whose filename contains the configured authentic keyword.</w:t>
            </w:r>
          </w:p>
        </w:tc>
        <w:tc>
          <w:tcPr>
            <w:tcW w:type="dxa" w:w="3096"/>
            <w:vAlign w:val="top"/>
          </w:tcPr>
          <w:p>
            <w:r>
              <w:t>The demonstration result remains Authentic and the log explicitly states that cryptographic checks were not executed.</w:t>
            </w:r>
          </w:p>
        </w:tc>
        <w:tc>
          <w:tcPr>
            <w:tcW w:type="dxa" w:w="3096"/>
            <w:vAlign w:val="top"/>
          </w:tcPr>
          <w:p>
            <w:r>
              <w:t>The demonstration result remains Authentic and the log explicitly states that cryptographic checks were not executed.</w:t>
            </w:r>
          </w:p>
        </w:tc>
        <w:tc>
          <w:tcPr>
            <w:tcW w:type="dxa" w:w="936"/>
            <w:vAlign w:val="top"/>
          </w:tcPr>
          <w:p>
            <w:pPr>
              <w:jc w:val="center"/>
            </w:pPr>
            <w:r>
              <w:rPr>
                <w:b/>
                <w:color w:val="00703C"/>
              </w:rPr>
              <w:t>Passed</w:t>
            </w:r>
          </w:p>
        </w:tc>
      </w:tr>
      <w:tr>
        <w:tc>
          <w:tcPr>
            <w:tcW w:type="dxa" w:w="1944"/>
            <w:vAlign w:val="top"/>
          </w:tcPr>
          <w:p>
            <w:r>
              <w:rPr>
                <w:b/>
              </w:rPr>
              <w:t>AT-07</w:t>
              <w:br/>
              <w:t>Version-chain mismatch detection</w:t>
            </w:r>
          </w:p>
        </w:tc>
        <w:tc>
          <w:tcPr>
            <w:tcW w:type="dxa" w:w="3024"/>
            <w:vAlign w:val="top"/>
          </w:tcPr>
          <w:p>
            <w:r>
              <w:t>Create two contract versions with an incorrect previous-fingerprint link in the second version.</w:t>
            </w:r>
          </w:p>
        </w:tc>
        <w:tc>
          <w:tcPr>
            <w:tcW w:type="dxa" w:w="3096"/>
            <w:vAlign w:val="top"/>
          </w:tcPr>
          <w:p>
            <w:r>
              <w:t>The first link is valid and the altered second link is rejected.</w:t>
            </w:r>
          </w:p>
        </w:tc>
        <w:tc>
          <w:tcPr>
            <w:tcW w:type="dxa" w:w="3096"/>
            <w:vAlign w:val="top"/>
          </w:tcPr>
          <w:p>
            <w:r>
              <w:t>The first link is valid and the altered second link is rejected.</w:t>
            </w:r>
          </w:p>
        </w:tc>
        <w:tc>
          <w:tcPr>
            <w:tcW w:type="dxa" w:w="936"/>
            <w:vAlign w:val="top"/>
          </w:tcPr>
          <w:p>
            <w:pPr>
              <w:jc w:val="center"/>
            </w:pPr>
            <w:r>
              <w:rPr>
                <w:b/>
                <w:color w:val="00703C"/>
              </w:rPr>
              <w:t>Passed</w:t>
            </w:r>
          </w:p>
        </w:tc>
      </w:tr>
      <w:tr>
        <w:tc>
          <w:tcPr>
            <w:tcW w:type="dxa" w:w="1944"/>
            <w:vAlign w:val="top"/>
          </w:tcPr>
          <w:p>
            <w:r>
              <w:rPr>
                <w:b/>
              </w:rPr>
              <w:t>AT-08</w:t>
              <w:br/>
              <w:t>Folder-order persistence</w:t>
            </w:r>
          </w:p>
        </w:tc>
        <w:tc>
          <w:tcPr>
            <w:tcW w:type="dxa" w:w="3024"/>
            <w:vAlign w:val="top"/>
          </w:tcPr>
          <w:p>
            <w:r>
              <w:t>Submit a complete reordered list of folder identifiers for the authenticated user.</w:t>
            </w:r>
          </w:p>
        </w:tc>
        <w:tc>
          <w:tcPr>
            <w:tcW w:type="dxa" w:w="3096"/>
            <w:vAlign w:val="top"/>
          </w:tcPr>
          <w:p>
            <w:r>
              <w:t>The endpoint returns success and subsequent database ordering matches the submitted sequence.</w:t>
            </w:r>
          </w:p>
        </w:tc>
        <w:tc>
          <w:tcPr>
            <w:tcW w:type="dxa" w:w="3096"/>
            <w:vAlign w:val="top"/>
          </w:tcPr>
          <w:p>
            <w:r>
              <w:t>The endpoint returns success and subsequent database ordering matches the submitted sequence.</w:t>
            </w:r>
          </w:p>
        </w:tc>
        <w:tc>
          <w:tcPr>
            <w:tcW w:type="dxa" w:w="936"/>
            <w:vAlign w:val="top"/>
          </w:tcPr>
          <w:p>
            <w:pPr>
              <w:jc w:val="center"/>
            </w:pPr>
            <w:r>
              <w:rPr>
                <w:b/>
                <w:color w:val="00703C"/>
              </w:rPr>
              <w:t>Passed</w:t>
            </w:r>
          </w:p>
        </w:tc>
      </w:tr>
      <w:tr>
        <w:tc>
          <w:tcPr>
            <w:tcW w:type="dxa" w:w="1944"/>
            <w:vAlign w:val="top"/>
          </w:tcPr>
          <w:p>
            <w:r>
              <w:rPr>
                <w:b/>
              </w:rPr>
              <w:t>AT-09</w:t>
              <w:br/>
              <w:t>Incomplete folder-order rejection</w:t>
            </w:r>
          </w:p>
        </w:tc>
        <w:tc>
          <w:tcPr>
            <w:tcW w:type="dxa" w:w="3024"/>
            <w:vAlign w:val="top"/>
          </w:tcPr>
          <w:p>
            <w:r>
              <w:t>Submit a folder order that omits one folder belonging to the current user.</w:t>
            </w:r>
          </w:p>
        </w:tc>
        <w:tc>
          <w:tcPr>
            <w:tcW w:type="dxa" w:w="3096"/>
            <w:vAlign w:val="top"/>
          </w:tcPr>
          <w:p>
            <w:r>
              <w:t>The request is rejected with HTTP 400 and an incomplete order is not accepted.</w:t>
            </w:r>
          </w:p>
        </w:tc>
        <w:tc>
          <w:tcPr>
            <w:tcW w:type="dxa" w:w="3096"/>
            <w:vAlign w:val="top"/>
          </w:tcPr>
          <w:p>
            <w:r>
              <w:t>The request is rejected with HTTP 400 and an incomplete order is not accepted.</w:t>
            </w:r>
          </w:p>
        </w:tc>
        <w:tc>
          <w:tcPr>
            <w:tcW w:type="dxa" w:w="936"/>
            <w:vAlign w:val="top"/>
          </w:tcPr>
          <w:p>
            <w:pPr>
              <w:jc w:val="center"/>
            </w:pPr>
            <w:r>
              <w:rPr>
                <w:b/>
                <w:color w:val="00703C"/>
              </w:rPr>
              <w:t>Passed</w:t>
            </w:r>
          </w:p>
        </w:tc>
      </w:tr>
      <w:tr>
        <w:tc>
          <w:tcPr>
            <w:tcW w:type="dxa" w:w="1944"/>
            <w:vAlign w:val="top"/>
          </w:tcPr>
          <w:p>
            <w:r>
              <w:rPr>
                <w:b/>
              </w:rPr>
              <w:t>AT-10</w:t>
              <w:br/>
              <w:t>Verification loading-layout regression</w:t>
            </w:r>
          </w:p>
        </w:tc>
        <w:tc>
          <w:tcPr>
            <w:tcW w:type="dxa" w:w="3024"/>
            <w:vAlign w:val="top"/>
          </w:tcPr>
          <w:p>
            <w:r>
              <w:t>Render the public verification page and inspect critical responsive/loading styles and scripts.</w:t>
            </w:r>
          </w:p>
        </w:tc>
        <w:tc>
          <w:tcPr>
            <w:tcW w:type="dxa" w:w="3096"/>
            <w:vAlign w:val="top"/>
          </w:tcPr>
          <w:p>
            <w:r>
              <w:t>The verification state locks page scrolling, applies the expected grid, and avoids the problematic 100vw declaration.</w:t>
            </w:r>
          </w:p>
        </w:tc>
        <w:tc>
          <w:tcPr>
            <w:tcW w:type="dxa" w:w="3096"/>
            <w:vAlign w:val="top"/>
          </w:tcPr>
          <w:p>
            <w:r>
              <w:t>The verification state locks page scrolling, applies the expected grid, and avoids the problematic 100vw declaration.</w:t>
            </w:r>
          </w:p>
        </w:tc>
        <w:tc>
          <w:tcPr>
            <w:tcW w:type="dxa" w:w="936"/>
            <w:vAlign w:val="top"/>
          </w:tcPr>
          <w:p>
            <w:pPr>
              <w:jc w:val="center"/>
            </w:pPr>
            <w:r>
              <w:rPr>
                <w:b/>
                <w:color w:val="00703C"/>
              </w:rPr>
              <w:t>Passed</w:t>
            </w:r>
          </w:p>
        </w:tc>
      </w:tr>
    </w:tbl>
    <w:p>
      <w:pPr>
        <w:pStyle w:val="Heading1"/>
        <w:spacing w:before="200" w:after="100"/>
      </w:pPr>
      <w:r>
        <w:t>5. Summary of Results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rPr>
              <w:t>Tests executed</w:t>
            </w:r>
          </w:p>
        </w:tc>
        <w:tc>
          <w:tcPr>
            <w:tcW w:type="dxa" w:w="5040"/>
          </w:tcPr>
          <w:p>
            <w:r>
              <w:t>10</w:t>
            </w:r>
          </w:p>
        </w:tc>
      </w:tr>
      <w:tr>
        <w:tc>
          <w:tcPr>
            <w:tcW w:type="dxa" w:w="5040"/>
            <w:shd w:fill="EAF2F8"/>
          </w:tcPr>
          <w:p>
            <w:r>
              <w:rPr>
                <w:b/>
              </w:rPr>
              <w:t>Passed</w:t>
            </w:r>
          </w:p>
        </w:tc>
        <w:tc>
          <w:tcPr>
            <w:tcW w:type="dxa" w:w="5040"/>
          </w:tcPr>
          <w:p>
            <w:r>
              <w:t>10</w:t>
            </w:r>
          </w:p>
        </w:tc>
      </w:tr>
      <w:tr>
        <w:tc>
          <w:tcPr>
            <w:tcW w:type="dxa" w:w="5040"/>
            <w:shd w:fill="EAF2F8"/>
          </w:tcPr>
          <w:p>
            <w:r>
              <w:rPr>
                <w:b/>
              </w:rPr>
              <w:t>Failed or errored</w:t>
            </w:r>
          </w:p>
        </w:tc>
        <w:tc>
          <w:tcPr>
            <w:tcW w:type="dxa" w:w="5040"/>
          </w:tcPr>
          <w:p>
            <w:r>
              <w:t>0</w:t>
            </w:r>
          </w:p>
        </w:tc>
      </w:tr>
      <w:tr>
        <w:tc>
          <w:tcPr>
            <w:tcW w:type="dxa" w:w="5040"/>
            <w:shd w:fill="EAF2F8"/>
          </w:tcPr>
          <w:p>
            <w:r>
              <w:rPr>
                <w:b/>
              </w:rPr>
              <w:t>Observed pass rate</w:t>
            </w:r>
          </w:p>
        </w:tc>
        <w:tc>
          <w:tcPr>
            <w:tcW w:type="dxa" w:w="5040"/>
          </w:tcPr>
          <w:p>
            <w:r>
              <w:t>100% (10/10)</w:t>
            </w:r>
          </w:p>
        </w:tc>
      </w:tr>
    </w:tbl>
    <w:p>
      <w:r>
        <w:t>The Django system check reported no configuration issues after DEBUG was supplied as False for the test process. All ten discovered automated tests completed successfully. The result indicates that the specific behaviors covered by these tests were functioning as expected at the time of execution.</w:t>
      </w:r>
    </w:p>
    <w:p>
      <w:pPr>
        <w:pStyle w:val="Heading1"/>
        <w:spacing w:before="200" w:after="100"/>
      </w:pPr>
      <w:r>
        <w:t>6. Interpretation and Limitations</w:t>
      </w:r>
    </w:p>
    <w:p>
      <w:r>
        <w:t>A 100% result applies only to the ten automated cases listed in this report. It does not mean that the entire system is defect-free, nor does it complete every test identified in the capstone manuscript. Several tests isolate dependencies through controlled values or mocked functions; consequently, a passing unit or regression test does not replace a complete end-to-end test using actual encryption keys and processed PDF documents.</w:t>
      </w:r>
    </w:p>
    <w:p>
      <w:r>
        <w:t>The following testing activities remain separate and should be reported when completed:</w:t>
      </w:r>
    </w:p>
    <w:p>
      <w:pPr>
        <w:pStyle w:val="ListBullet"/>
      </w:pPr>
      <w:r>
        <w:t>Expanded cryptographic unit tests for AES, RSA key wrapping, HMAC, SHA-256, and LSB embedding/extraction.</w:t>
      </w:r>
    </w:p>
    <w:p>
      <w:pPr>
        <w:pStyle w:val="ListBullet"/>
      </w:pPr>
      <w:r>
        <w:t>End-to-end upload, encryption, sealing, publication, download, and verification tests using prepared PDFs.</w:t>
      </w:r>
    </w:p>
    <w:p>
      <w:pPr>
        <w:pStyle w:val="ListBullet"/>
      </w:pPr>
      <w:r>
        <w:t>Tamper-detection accuracy tests covering text, image, vector, metadata, and structural modifications.</w:t>
      </w:r>
    </w:p>
    <w:p>
      <w:pPr>
        <w:pStyle w:val="ListBullet"/>
      </w:pPr>
      <w:r>
        <w:t>Role-based authorization, SQL injection, cross-site scripting, CSRF, upload-abuse, and brute-force tests.</w:t>
      </w:r>
    </w:p>
    <w:p>
      <w:pPr>
        <w:pStyle w:val="ListBullet"/>
      </w:pPr>
      <w:r>
        <w:t>Browser, viewport, physical-device, stress, reliability, and response-time testing.</w:t>
      </w:r>
    </w:p>
    <w:p>
      <w:r>
        <w:t>The filename-based authentic, tampered, and unknown results are intentionally retained as demonstration features. The automated test confirms that this demonstration mode remains available and that its debug log discloses that cryptographic checks were not executed. Results produced by demonstration mode must not be included as evidence of cryptographic verification accuracy.</w:t>
      </w:r>
    </w:p>
    <w:p>
      <w:pPr>
        <w:pStyle w:val="Heading1"/>
        <w:spacing w:before="200" w:after="100"/>
      </w:pPr>
      <w:r>
        <w:t>7. Conclusion</w:t>
      </w:r>
    </w:p>
    <w:p>
      <w:r>
        <w:t>The initial automated regression baseline passed all ten cases. The test suite provides repeatable evidence for the covered features and can be rerun after future modifications. Additional automated and manual tests are required to substantiate the manuscript's full functional, security, compatibility, reliability, and performance-testing objectives.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Automated Software Testing Report | Generated September 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7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7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7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