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1DF8" w14:textId="007464CC" w:rsidR="00694C66" w:rsidRPr="00694C66" w:rsidRDefault="00694C66" w:rsidP="00694C66">
      <w:pPr>
        <w:pBdr>
          <w:bottom w:val="single" w:sz="12" w:space="1" w:color="auto"/>
        </w:pBdr>
        <w:spacing w:after="600"/>
        <w:jc w:val="center"/>
        <w:rPr>
          <w:rFonts w:ascii="Arial" w:hAnsi="Arial" w:cs="Arial"/>
          <w:b/>
          <w:bCs/>
        </w:rPr>
      </w:pPr>
      <w:r w:rsidRPr="00694C66">
        <w:rPr>
          <w:rFonts w:ascii="Arial" w:hAnsi="Arial" w:cs="Arial"/>
          <w:b/>
          <w:bCs/>
        </w:rPr>
        <w:t>Charlton _26305072_SS</w:t>
      </w:r>
      <w:r w:rsidR="00D40943">
        <w:rPr>
          <w:rFonts w:ascii="Arial" w:hAnsi="Arial" w:cs="Arial"/>
          <w:b/>
          <w:bCs/>
        </w:rPr>
        <w:t>2</w:t>
      </w:r>
      <w:r w:rsidRPr="00694C66">
        <w:rPr>
          <w:rFonts w:ascii="Arial" w:hAnsi="Arial" w:cs="Arial"/>
          <w:b/>
          <w:bCs/>
        </w:rPr>
        <w:t>_PartA_</w:t>
      </w:r>
      <w:r w:rsidR="00D40943" w:rsidRPr="00D40943">
        <w:t xml:space="preserve"> </w:t>
      </w:r>
      <w:r w:rsidR="00D40943" w:rsidRPr="00D40943">
        <w:rPr>
          <w:rFonts w:ascii="Arial" w:hAnsi="Arial" w:cs="Arial"/>
          <w:b/>
          <w:bCs/>
        </w:rPr>
        <w:t>CAP182</w:t>
      </w:r>
    </w:p>
    <w:p w14:paraId="2EA97F4C" w14:textId="3A8C6AE2" w:rsidR="00694C66" w:rsidRPr="00694C66" w:rsidRDefault="00D40943" w:rsidP="00694C66">
      <w:pPr>
        <w:pBdr>
          <w:bottom w:val="single" w:sz="12" w:space="1" w:color="auto"/>
        </w:pBdr>
        <w:spacing w:after="600"/>
        <w:jc w:val="center"/>
        <w:rPr>
          <w:rFonts w:ascii="Arial" w:hAnsi="Arial" w:cs="Arial"/>
          <w:b/>
          <w:bCs/>
        </w:rPr>
      </w:pPr>
      <w:r w:rsidRPr="00D40943">
        <w:rPr>
          <w:rFonts w:ascii="Arial" w:hAnsi="Arial" w:cs="Arial"/>
          <w:b/>
          <w:bCs/>
        </w:rPr>
        <w:t xml:space="preserve">Capstone </w:t>
      </w:r>
      <w:r w:rsidR="00694C66" w:rsidRPr="00694C66">
        <w:rPr>
          <w:rFonts w:ascii="Arial" w:hAnsi="Arial" w:cs="Arial"/>
          <w:b/>
          <w:bCs/>
        </w:rPr>
        <w:t xml:space="preserve">| </w:t>
      </w:r>
      <w:r w:rsidRPr="00D40943">
        <w:rPr>
          <w:rFonts w:ascii="Arial" w:hAnsi="Arial" w:cs="Arial"/>
          <w:b/>
          <w:bCs/>
        </w:rPr>
        <w:t>CAP182</w:t>
      </w:r>
    </w:p>
    <w:p w14:paraId="108F0926" w14:textId="579635A3" w:rsidR="00694C66" w:rsidRPr="00694C66" w:rsidRDefault="00694C66" w:rsidP="00694C66">
      <w:pPr>
        <w:pBdr>
          <w:bottom w:val="single" w:sz="12" w:space="1" w:color="auto"/>
        </w:pBdr>
        <w:spacing w:after="600"/>
        <w:jc w:val="center"/>
        <w:rPr>
          <w:rFonts w:ascii="Arial" w:hAnsi="Arial" w:cs="Arial"/>
          <w:b/>
          <w:bCs/>
        </w:rPr>
      </w:pPr>
      <w:r w:rsidRPr="00694C66">
        <w:rPr>
          <w:rFonts w:ascii="Arial" w:hAnsi="Arial" w:cs="Arial"/>
          <w:b/>
          <w:bCs/>
        </w:rPr>
        <w:t>Part A – Related Work and Data</w:t>
      </w:r>
    </w:p>
    <w:p w14:paraId="3894A07B" w14:textId="77777777" w:rsidR="00694C66" w:rsidRPr="00694C66" w:rsidRDefault="00694C66" w:rsidP="00694C66">
      <w:pPr>
        <w:pBdr>
          <w:bottom w:val="single" w:sz="12" w:space="1" w:color="auto"/>
        </w:pBdr>
        <w:spacing w:after="600"/>
        <w:jc w:val="center"/>
        <w:rPr>
          <w:rFonts w:ascii="Arial" w:hAnsi="Arial" w:cs="Arial"/>
          <w:b/>
          <w:bCs/>
        </w:rPr>
      </w:pPr>
    </w:p>
    <w:p w14:paraId="207EBF20" w14:textId="77777777" w:rsidR="00D40943" w:rsidRDefault="00D40943">
      <w:pPr>
        <w:spacing w:after="160"/>
        <w:rPr>
          <w:rFonts w:ascii="Arial" w:hAnsi="Arial" w:cs="Arial"/>
          <w:sz w:val="19"/>
          <w:szCs w:val="19"/>
        </w:rPr>
      </w:pPr>
      <w:r w:rsidRPr="00694C66">
        <w:rPr>
          <w:rFonts w:ascii="Arial" w:hAnsi="Arial" w:cs="Arial"/>
          <w:sz w:val="19"/>
          <w:szCs w:val="19"/>
        </w:rPr>
        <w:t xml:space="preserve">Machine-Learning Capstone (CAP182) · SS2 · STADIO Equities account-activation project. </w:t>
      </w:r>
    </w:p>
    <w:p w14:paraId="67E42C15" w14:textId="37ED2A5B" w:rsidR="00920BE6" w:rsidRPr="00694C66" w:rsidRDefault="00D40943">
      <w:pPr>
        <w:spacing w:after="160"/>
        <w:rPr>
          <w:rFonts w:ascii="Arial" w:hAnsi="Arial" w:cs="Arial"/>
        </w:rPr>
      </w:pPr>
      <w:r w:rsidRPr="00694C66">
        <w:rPr>
          <w:rFonts w:ascii="Arial" w:hAnsi="Arial" w:cs="Arial"/>
          <w:sz w:val="19"/>
          <w:szCs w:val="19"/>
        </w:rPr>
        <w:t xml:space="preserve">Three peer-reviewed publications relevant to predicting deposit subscription / customer activation from </w:t>
      </w:r>
      <w:proofErr w:type="spellStart"/>
      <w:r w:rsidRPr="00694C66">
        <w:rPr>
          <w:rFonts w:ascii="Arial" w:hAnsi="Arial" w:cs="Arial"/>
          <w:sz w:val="19"/>
          <w:szCs w:val="19"/>
        </w:rPr>
        <w:t>behavioural</w:t>
      </w:r>
      <w:proofErr w:type="spellEnd"/>
      <w:r w:rsidRPr="00694C66">
        <w:rPr>
          <w:rFonts w:ascii="Arial" w:hAnsi="Arial" w:cs="Arial"/>
          <w:sz w:val="19"/>
          <w:szCs w:val="19"/>
        </w:rPr>
        <w:t xml:space="preserve"> and demographic data, followed by a description of the public dataset used to prove the approach.</w:t>
      </w:r>
    </w:p>
    <w:p w14:paraId="377C0715" w14:textId="77777777" w:rsidR="00920BE6" w:rsidRPr="00694C66" w:rsidRDefault="00D40943">
      <w:pPr>
        <w:spacing w:before="220" w:after="90"/>
        <w:rPr>
          <w:rFonts w:ascii="Arial" w:hAnsi="Arial" w:cs="Arial"/>
        </w:rPr>
      </w:pPr>
      <w:r w:rsidRPr="00694C66">
        <w:rPr>
          <w:rFonts w:ascii="Arial" w:hAnsi="Arial" w:cs="Arial"/>
          <w:b/>
          <w:bCs/>
          <w:sz w:val="24"/>
          <w:szCs w:val="24"/>
        </w:rPr>
        <w:t>Table 1 – Literature review: Moro, Cortez &amp; Rita (2014)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576"/>
      </w:tblGrid>
      <w:tr w:rsidR="00920BE6" w:rsidRPr="00694C66" w14:paraId="2B2B7460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88839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Title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EB326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A data-driven approach to predict the success of bank telemarketing</w:t>
            </w:r>
          </w:p>
        </w:tc>
      </w:tr>
      <w:tr w:rsidR="00920BE6" w:rsidRPr="00694C66" w14:paraId="1E286EE8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C49DD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Harvard reference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A659A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 xml:space="preserve">Moro, S., Cortez, P. &amp; Rita, P. (2014) 'A data-driven approach to predict the success of bank telemarketing', </w:t>
            </w:r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>Decision Support Systems</w:t>
            </w:r>
            <w:r w:rsidRPr="00694C66">
              <w:rPr>
                <w:rFonts w:ascii="Arial" w:hAnsi="Arial" w:cs="Arial"/>
                <w:sz w:val="18"/>
                <w:szCs w:val="18"/>
              </w:rPr>
              <w:t xml:space="preserve">, 62, pp.22-31. </w:t>
            </w:r>
            <w:proofErr w:type="gramStart"/>
            <w:r w:rsidRPr="00694C66">
              <w:rPr>
                <w:rFonts w:ascii="Arial" w:hAnsi="Arial" w:cs="Arial"/>
                <w:sz w:val="18"/>
                <w:szCs w:val="18"/>
              </w:rPr>
              <w:t>doi:10.1016/j.dss</w:t>
            </w:r>
            <w:proofErr w:type="gramEnd"/>
            <w:r w:rsidRPr="00694C66">
              <w:rPr>
                <w:rFonts w:ascii="Arial" w:hAnsi="Arial" w:cs="Arial"/>
                <w:sz w:val="18"/>
                <w:szCs w:val="18"/>
              </w:rPr>
              <w:t>.2014.03.001.</w:t>
            </w:r>
          </w:p>
        </w:tc>
      </w:tr>
      <w:tr w:rsidR="00920BE6" w:rsidRPr="00694C66" w14:paraId="3AED681B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38956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Link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8590F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https://doi.org/10.1016/j.dss.2014.03.001</w:t>
            </w:r>
          </w:p>
        </w:tc>
      </w:tr>
      <w:tr w:rsidR="00920BE6" w:rsidRPr="00694C66" w14:paraId="09DEEA63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FB939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Modelling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1A6F6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Four classifiers compared under a rolling-window evaluation: Logistic Regression, Decision Tree, Support Vector Machine and Neural Network. The Neural Network gave the best discrimination (AUC ~0.80, cumulative-lift based selection). Feature relevance assessed with a sensitivity-analysis procedure.</w:t>
            </w:r>
          </w:p>
        </w:tc>
      </w:tr>
      <w:tr w:rsidR="00920BE6" w:rsidRPr="00694C66" w14:paraId="6D90950B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28239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Preprocessing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AAFA1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Semi-automatic feature selection reducing 150+ candidate attributes to 22; removal of the call-duration attribute for realistic (pre-call) modelling; categorical encoding; addition of socio-economic context variables (employment variation, consumer confidence, Euribor).</w:t>
            </w:r>
          </w:p>
        </w:tc>
      </w:tr>
      <w:tr w:rsidR="00920BE6" w:rsidRPr="00694C66" w14:paraId="04E996C8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2B404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Datasets used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0E263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The UCI Bank Marketing dataset (Portuguese retail bank, direct telemarketing campaigns, 2008-2010). This is the same public dataset adopted in the present project.</w:t>
            </w:r>
          </w:p>
        </w:tc>
      </w:tr>
      <w:tr w:rsidR="00920BE6" w:rsidRPr="00694C66" w14:paraId="4B2FC28A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A2D95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Key takeaways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36614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Establishes the reference formulation for predicting deposit subscription from demographic, campaign and macro-economic features. Confirms that call-duration is leakage and must be dropped for deployable models, and that macro-economic context materially improves performance - both decisions are replicated in this project.</w:t>
            </w:r>
          </w:p>
        </w:tc>
      </w:tr>
    </w:tbl>
    <w:p w14:paraId="02470798" w14:textId="77777777" w:rsidR="00920BE6" w:rsidRPr="00694C66" w:rsidRDefault="00D40943">
      <w:pPr>
        <w:spacing w:before="220" w:after="90"/>
        <w:rPr>
          <w:rFonts w:ascii="Arial" w:hAnsi="Arial" w:cs="Arial"/>
        </w:rPr>
      </w:pPr>
      <w:r w:rsidRPr="00694C66">
        <w:rPr>
          <w:rFonts w:ascii="Arial" w:hAnsi="Arial" w:cs="Arial"/>
          <w:b/>
          <w:bCs/>
          <w:sz w:val="24"/>
          <w:szCs w:val="24"/>
        </w:rPr>
        <w:t>Table 2 – Literature review: Dias &amp; Antonio (2025)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576"/>
      </w:tblGrid>
      <w:tr w:rsidR="00920BE6" w:rsidRPr="00694C66" w14:paraId="1EB163C0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B156D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1F42E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Predicting customer churn using machine learning: a case study in the software industry</w:t>
            </w:r>
          </w:p>
        </w:tc>
      </w:tr>
      <w:tr w:rsidR="00920BE6" w:rsidRPr="00694C66" w14:paraId="0F9E539A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C8AD4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b/>
                <w:bCs/>
                <w:sz w:val="18"/>
                <w:szCs w:val="18"/>
              </w:rPr>
              <w:t>Harvard reference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6A4D6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 xml:space="preserve">Dias, J.R. &amp; Antonio, N. (2025) 'Predicting customer churn using machine learning: a case study in the software industry', </w:t>
            </w:r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>Journal of Marketing Analytics</w:t>
            </w:r>
            <w:r w:rsidRPr="00694C66">
              <w:rPr>
                <w:rFonts w:ascii="Arial" w:hAnsi="Arial" w:cs="Arial"/>
                <w:sz w:val="18"/>
                <w:szCs w:val="18"/>
              </w:rPr>
              <w:t>, 13(1), pp.111-127. doi:10.1057/s41270-023-00269-9.</w:t>
            </w:r>
          </w:p>
        </w:tc>
      </w:tr>
      <w:tr w:rsidR="00920BE6" w:rsidRPr="00694C66" w14:paraId="0BC53A7D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9F4B7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b/>
                <w:bCs/>
                <w:sz w:val="18"/>
                <w:szCs w:val="18"/>
              </w:rPr>
              <w:t>Link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DEC0B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https://doi.org/10.1057/s41270-023-00269-9</w:t>
            </w:r>
          </w:p>
        </w:tc>
      </w:tr>
      <w:tr w:rsidR="00920BE6" w:rsidRPr="00694C66" w14:paraId="45CAF321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194BE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b/>
                <w:bCs/>
                <w:sz w:val="18"/>
                <w:szCs w:val="18"/>
              </w:rPr>
              <w:t>Modelling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413DE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 xml:space="preserve">Six supervised classifiers benchmarked: Random Forest, AdaBoost, Gradient Boosting, Multilayer Perceptron, 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 and Logistic Regression. 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 was the strongest model (Recall ~0.85, ROC-AUC ~0.86).</w:t>
            </w:r>
          </w:p>
        </w:tc>
      </w:tr>
      <w:tr w:rsidR="00920BE6" w:rsidRPr="00694C66" w14:paraId="096C3D5E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E1DC5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b/>
                <w:bCs/>
                <w:sz w:val="18"/>
                <w:szCs w:val="18"/>
              </w:rPr>
              <w:t>Preprocessing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8CDCF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Handling of class imbalance through resampling; feature scaling; categorical encoding; hyper-parameter tuning by cross-validated search; evaluation on a held-out set using Recall, F1 and ROC-AUC with business cost in mind.</w:t>
            </w:r>
          </w:p>
        </w:tc>
      </w:tr>
      <w:tr w:rsidR="00920BE6" w:rsidRPr="00694C66" w14:paraId="1C313B9D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AF759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Datasets used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FCDA6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A proprietary customer-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behaviour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 dataset from a software (SaaS) provider - not public - but the customer-retention / activation framing is directly analogous to the SS1 account-activation problem.</w:t>
            </w:r>
          </w:p>
        </w:tc>
      </w:tr>
      <w:tr w:rsidR="00920BE6" w:rsidRPr="00694C66" w14:paraId="2B468A3D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8B580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b/>
                <w:bCs/>
                <w:sz w:val="18"/>
                <w:szCs w:val="18"/>
              </w:rPr>
              <w:t>Key takeaways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7C391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Provides recent, peer-reviewed evidence that gradient-boosted trees (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>) outperform logistic regression and other ensembles on imbalanced customer-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behaviour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 targets, and that Recall / ROC-AUC are the appropriate business metrics - supporting the choice of 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 as Model 2 here.</w:t>
            </w:r>
          </w:p>
        </w:tc>
      </w:tr>
    </w:tbl>
    <w:p w14:paraId="4C32039A" w14:textId="77777777" w:rsidR="00920BE6" w:rsidRPr="00694C66" w:rsidRDefault="00D40943">
      <w:pPr>
        <w:spacing w:before="220" w:after="90"/>
        <w:rPr>
          <w:rFonts w:ascii="Arial" w:hAnsi="Arial" w:cs="Arial"/>
        </w:rPr>
      </w:pPr>
      <w:r w:rsidRPr="00694C66">
        <w:rPr>
          <w:rFonts w:ascii="Arial" w:hAnsi="Arial" w:cs="Arial"/>
          <w:b/>
          <w:bCs/>
          <w:sz w:val="24"/>
          <w:szCs w:val="24"/>
        </w:rPr>
        <w:t xml:space="preserve">Table 3 – Literature review: </w:t>
      </w:r>
      <w:proofErr w:type="spellStart"/>
      <w:r w:rsidRPr="00694C66">
        <w:rPr>
          <w:rFonts w:ascii="Arial" w:hAnsi="Arial" w:cs="Arial"/>
          <w:b/>
          <w:bCs/>
          <w:sz w:val="24"/>
          <w:szCs w:val="24"/>
        </w:rPr>
        <w:t>Arifah</w:t>
      </w:r>
      <w:proofErr w:type="spellEnd"/>
      <w:r w:rsidRPr="00694C66">
        <w:rPr>
          <w:rFonts w:ascii="Arial" w:hAnsi="Arial" w:cs="Arial"/>
          <w:b/>
          <w:bCs/>
          <w:sz w:val="24"/>
          <w:szCs w:val="24"/>
        </w:rPr>
        <w:t xml:space="preserve"> et al. (2023)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576"/>
      </w:tblGrid>
      <w:tr w:rsidR="00920BE6" w:rsidRPr="00694C66" w14:paraId="7A2D1EC0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102B0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Title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0E850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Application of SMOTE to handle imbalance class in deposit classification using the Extreme Gradient Boosting algorithm</w:t>
            </w:r>
          </w:p>
        </w:tc>
      </w:tr>
      <w:tr w:rsidR="00920BE6" w:rsidRPr="00694C66" w14:paraId="3EFFADB5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195DA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Harvard reference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E8777" w14:textId="77777777" w:rsidR="00920BE6" w:rsidRPr="00694C66" w:rsidRDefault="00D40943">
            <w:pPr>
              <w:rPr>
                <w:rFonts w:ascii="Arial" w:hAnsi="Arial" w:cs="Arial"/>
              </w:rPr>
            </w:pP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Arifah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, D., Saragih, T.H., 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Kartini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, D., 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Muliadi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, M. &amp; 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Mazdadi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, M.I. (2023) 'Application of SMOTE to handle imbalance class in deposit classification using the Extreme Gradient Boosting algorithm', </w:t>
            </w:r>
            <w:proofErr w:type="spellStart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>Jurnal</w:t>
            </w:r>
            <w:proofErr w:type="spellEnd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>Ilmiah</w:t>
            </w:r>
            <w:proofErr w:type="spellEnd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Teknik </w:t>
            </w:r>
            <w:proofErr w:type="spellStart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>Elektro</w:t>
            </w:r>
            <w:proofErr w:type="spellEnd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>Komputer</w:t>
            </w:r>
            <w:proofErr w:type="spellEnd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dan </w:t>
            </w:r>
            <w:proofErr w:type="spellStart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>Informatika</w:t>
            </w:r>
            <w:proofErr w:type="spellEnd"/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(JITEKI)</w:t>
            </w:r>
            <w:r w:rsidRPr="00694C66">
              <w:rPr>
                <w:rFonts w:ascii="Arial" w:hAnsi="Arial" w:cs="Arial"/>
                <w:sz w:val="18"/>
                <w:szCs w:val="18"/>
              </w:rPr>
              <w:t>, 9(2), pp.396-410. doi:10.26555/</w:t>
            </w:r>
            <w:proofErr w:type="gramStart"/>
            <w:r w:rsidRPr="00694C66">
              <w:rPr>
                <w:rFonts w:ascii="Arial" w:hAnsi="Arial" w:cs="Arial"/>
                <w:sz w:val="18"/>
                <w:szCs w:val="18"/>
              </w:rPr>
              <w:t>jiteki.v</w:t>
            </w:r>
            <w:proofErr w:type="gramEnd"/>
            <w:r w:rsidRPr="00694C66">
              <w:rPr>
                <w:rFonts w:ascii="Arial" w:hAnsi="Arial" w:cs="Arial"/>
                <w:sz w:val="18"/>
                <w:szCs w:val="18"/>
              </w:rPr>
              <w:t>9i2.26155.</w:t>
            </w:r>
          </w:p>
        </w:tc>
      </w:tr>
      <w:tr w:rsidR="00920BE6" w:rsidRPr="00694C66" w14:paraId="6F303C7E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7CB8C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Link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8AF0C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https://doi.org/10.26555/jiteki.v9i2.26155</w:t>
            </w:r>
          </w:p>
        </w:tc>
      </w:tr>
      <w:tr w:rsidR="00920BE6" w:rsidRPr="00694C66" w14:paraId="48FABA42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DA583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Modelling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35041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Extreme Gradient Boosting (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>) as the classifier, combined with SMOTE over-sampling to correct class imbalance. Reported accuracy ~0.910 and ROC ~0.938 after SMOTE.</w:t>
            </w:r>
          </w:p>
        </w:tc>
      </w:tr>
      <w:tr w:rsidR="00920BE6" w:rsidRPr="00694C66" w14:paraId="4653C3C3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85E5A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Preprocessing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87D83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SMOTE synthetic over-sampling of the minority (subscribed) class; categorical encoding; train/test partitioning; comparison of performance with and without SMOTE to isolate the effect of balancing.</w:t>
            </w:r>
          </w:p>
        </w:tc>
      </w:tr>
      <w:tr w:rsidR="00920BE6" w:rsidRPr="00694C66" w14:paraId="146A81A4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9DA06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Datasets used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DDBEA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The UCI Bank Marketing dataset (~11.7% positive rate) - the same public dataset used in this project, making its results directly comparable.</w:t>
            </w:r>
          </w:p>
        </w:tc>
      </w:tr>
      <w:tr w:rsidR="00920BE6" w:rsidRPr="00694C66" w14:paraId="5C4EB9ED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C3E0E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Key takeaways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571E1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 xml:space="preserve">Demonstrates, on the identical public dataset, that 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XGBoost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 with explicit imbalance handling is a strong performer for deposit classification. Motivates the imbalance strategy (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scale_pos_weight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694C66">
              <w:rPr>
                <w:rFonts w:ascii="Arial" w:hAnsi="Arial" w:cs="Arial"/>
                <w:sz w:val="18"/>
                <w:szCs w:val="18"/>
              </w:rPr>
              <w:t>class_weight</w:t>
            </w:r>
            <w:proofErr w:type="spellEnd"/>
            <w:r w:rsidRPr="00694C66">
              <w:rPr>
                <w:rFonts w:ascii="Arial" w:hAnsi="Arial" w:cs="Arial"/>
                <w:sz w:val="18"/>
                <w:szCs w:val="18"/>
              </w:rPr>
              <w:t>) used here and the recommendation to trial SMOTE as a future improvement in Part D.</w:t>
            </w:r>
          </w:p>
        </w:tc>
      </w:tr>
    </w:tbl>
    <w:p w14:paraId="533F963C" w14:textId="77777777" w:rsidR="00920BE6" w:rsidRPr="00694C66" w:rsidRDefault="00D40943">
      <w:pPr>
        <w:spacing w:before="220" w:after="90"/>
        <w:rPr>
          <w:rFonts w:ascii="Arial" w:hAnsi="Arial" w:cs="Arial"/>
        </w:rPr>
      </w:pPr>
      <w:r w:rsidRPr="00694C66">
        <w:rPr>
          <w:rFonts w:ascii="Arial" w:hAnsi="Arial" w:cs="Arial"/>
          <w:b/>
          <w:bCs/>
          <w:sz w:val="24"/>
          <w:szCs w:val="24"/>
        </w:rPr>
        <w:t>Table 4 – Description of the public dataset used in this project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576"/>
      </w:tblGrid>
      <w:tr w:rsidR="00920BE6" w:rsidRPr="00694C66" w14:paraId="0E246336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34D2B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44E80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 xml:space="preserve">UCI Bank Marketing - </w:t>
            </w:r>
            <w:r w:rsidRPr="00694C66">
              <w:rPr>
                <w:rFonts w:ascii="Arial" w:eastAsia="Consolas" w:hAnsi="Arial" w:cs="Arial"/>
                <w:sz w:val="17"/>
                <w:szCs w:val="17"/>
              </w:rPr>
              <w:t>bank-additional-full.csv</w:t>
            </w:r>
            <w:r w:rsidRPr="00694C66">
              <w:rPr>
                <w:rFonts w:ascii="Arial" w:hAnsi="Arial" w:cs="Arial"/>
                <w:sz w:val="18"/>
                <w:szCs w:val="18"/>
              </w:rPr>
              <w:t xml:space="preserve"> (the full, socio-economically enriched version)</w:t>
            </w:r>
          </w:p>
        </w:tc>
      </w:tr>
      <w:tr w:rsidR="00920BE6" w:rsidRPr="00694C66" w14:paraId="32AC687B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ED8E0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Harvard reference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2BD13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 xml:space="preserve">Moro, S., Cortez, P. &amp; Rita, P. (2014) 'A data-driven approach to predict the success of bank telemarketing', </w:t>
            </w:r>
            <w:r w:rsidRPr="00694C66">
              <w:rPr>
                <w:rFonts w:ascii="Arial" w:hAnsi="Arial" w:cs="Arial"/>
                <w:i/>
                <w:iCs/>
                <w:sz w:val="18"/>
                <w:szCs w:val="18"/>
              </w:rPr>
              <w:t>Decision Support Systems</w:t>
            </w:r>
            <w:r w:rsidRPr="00694C66">
              <w:rPr>
                <w:rFonts w:ascii="Arial" w:hAnsi="Arial" w:cs="Arial"/>
                <w:sz w:val="18"/>
                <w:szCs w:val="18"/>
              </w:rPr>
              <w:t>, 62, pp.22-31. Dataset hosted at the UCI Machine Learning Repository. doi:10.24432/C5K306.</w:t>
            </w:r>
          </w:p>
        </w:tc>
      </w:tr>
      <w:tr w:rsidR="00920BE6" w:rsidRPr="00694C66" w14:paraId="317EB8C8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103B6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Link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82C77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https://archive.ics.uci.edu/dataset/222/bank+marketing</w:t>
            </w:r>
          </w:p>
        </w:tc>
      </w:tr>
      <w:tr w:rsidR="00920BE6" w:rsidRPr="00694C66" w14:paraId="76AFF80E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3AB8B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Number of instances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8DA00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41,188 rows (one row per client contact)</w:t>
            </w:r>
          </w:p>
        </w:tc>
      </w:tr>
      <w:tr w:rsidR="00920BE6" w:rsidRPr="00694C66" w14:paraId="20657903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C2AEB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Number of feature columns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760B2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 xml:space="preserve">20 input attributes (after removing the leakage attribute </w:t>
            </w:r>
            <w:r w:rsidRPr="00694C66">
              <w:rPr>
                <w:rFonts w:ascii="Arial" w:eastAsia="Consolas" w:hAnsi="Arial" w:cs="Arial"/>
                <w:sz w:val="17"/>
                <w:szCs w:val="17"/>
              </w:rPr>
              <w:t>duration</w:t>
            </w:r>
            <w:r w:rsidRPr="00694C66">
              <w:rPr>
                <w:rFonts w:ascii="Arial" w:hAnsi="Arial" w:cs="Arial"/>
                <w:sz w:val="18"/>
                <w:szCs w:val="18"/>
              </w:rPr>
              <w:t>, 19 predictors are used; the project then engineers 5 additional features, giving 77 columns after one-hot encoding)</w:t>
            </w:r>
          </w:p>
        </w:tc>
      </w:tr>
      <w:tr w:rsidR="00920BE6" w:rsidRPr="00694C66" w14:paraId="67316633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03497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Number of classes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7028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2 (binary classification)</w:t>
            </w:r>
          </w:p>
        </w:tc>
      </w:tr>
      <w:tr w:rsidR="00920BE6" w:rsidRPr="00694C66" w14:paraId="070D4113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AB127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Target and its range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B2453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eastAsia="Consolas" w:hAnsi="Arial" w:cs="Arial"/>
                <w:sz w:val="17"/>
                <w:szCs w:val="17"/>
              </w:rPr>
              <w:t>y</w:t>
            </w:r>
            <w:r w:rsidRPr="00694C66">
              <w:rPr>
                <w:rFonts w:ascii="Arial" w:hAnsi="Arial" w:cs="Arial"/>
                <w:sz w:val="18"/>
                <w:szCs w:val="18"/>
              </w:rPr>
              <w:t xml:space="preserve"> - has the client subscribed a term deposit? Values: 'yes' / 'no', mapped to 1 / 0. Positive (subscribed) rate = 11.27%, </w:t>
            </w:r>
            <w:proofErr w:type="gramStart"/>
            <w:r w:rsidRPr="00694C66">
              <w:rPr>
                <w:rFonts w:ascii="Arial" w:hAnsi="Arial" w:cs="Arial"/>
                <w:sz w:val="18"/>
                <w:szCs w:val="18"/>
              </w:rPr>
              <w:t>i.e.</w:t>
            </w:r>
            <w:proofErr w:type="gramEnd"/>
            <w:r w:rsidRPr="00694C66">
              <w:rPr>
                <w:rFonts w:ascii="Arial" w:hAnsi="Arial" w:cs="Arial"/>
                <w:sz w:val="18"/>
                <w:szCs w:val="18"/>
              </w:rPr>
              <w:t xml:space="preserve"> an imbalanced target.</w:t>
            </w:r>
          </w:p>
        </w:tc>
      </w:tr>
      <w:tr w:rsidR="00920BE6" w:rsidRPr="00694C66" w14:paraId="5227934B" w14:textId="77777777" w:rsidTr="00694C66">
        <w:tc>
          <w:tcPr>
            <w:tcW w:w="245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000000" w:themeFill="text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61CDE" w14:textId="77777777" w:rsidR="00920BE6" w:rsidRPr="00694C66" w:rsidRDefault="00D40943">
            <w:pPr>
              <w:rPr>
                <w:rFonts w:ascii="Arial" w:hAnsi="Arial" w:cs="Arial"/>
                <w:color w:val="FFFFFF" w:themeColor="background1"/>
              </w:rPr>
            </w:pPr>
            <w:r w:rsidRPr="00694C66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Origin</w:t>
            </w:r>
          </w:p>
        </w:tc>
        <w:tc>
          <w:tcPr>
            <w:tcW w:w="657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E3583" w14:textId="77777777" w:rsidR="00920BE6" w:rsidRPr="00694C66" w:rsidRDefault="00D40943">
            <w:pPr>
              <w:rPr>
                <w:rFonts w:ascii="Arial" w:hAnsi="Arial" w:cs="Arial"/>
              </w:rPr>
            </w:pPr>
            <w:r w:rsidRPr="00694C66">
              <w:rPr>
                <w:rFonts w:ascii="Arial" w:hAnsi="Arial" w:cs="Arial"/>
                <w:sz w:val="18"/>
                <w:szCs w:val="18"/>
              </w:rPr>
              <w:t>Direct (telephone) marketing campaigns of a Portuguese retail bank, May 2008 - November 2010, enriched by the authors with five Banco de Portugal socio-economic indicators (employment variation rate, consumer price index, consumer confidence index, Euribor 3-month rate, number of employees).</w:t>
            </w:r>
          </w:p>
        </w:tc>
      </w:tr>
    </w:tbl>
    <w:p w14:paraId="534A80A2" w14:textId="77777777" w:rsidR="00920BE6" w:rsidRPr="00694C66" w:rsidRDefault="00D40943">
      <w:pPr>
        <w:spacing w:before="160"/>
        <w:rPr>
          <w:rFonts w:ascii="Arial" w:hAnsi="Arial" w:cs="Arial"/>
          <w:i/>
          <w:iCs/>
        </w:rPr>
      </w:pPr>
      <w:r w:rsidRPr="00694C66">
        <w:rPr>
          <w:rFonts w:ascii="Arial" w:hAnsi="Arial" w:cs="Arial"/>
          <w:i/>
          <w:iCs/>
          <w:color w:val="666666"/>
          <w:sz w:val="16"/>
          <w:szCs w:val="16"/>
        </w:rPr>
        <w:t xml:space="preserve">Note: two of the three reviewed publications (Moro et al., 2014 and </w:t>
      </w:r>
      <w:proofErr w:type="spellStart"/>
      <w:r w:rsidRPr="00694C66">
        <w:rPr>
          <w:rFonts w:ascii="Arial" w:hAnsi="Arial" w:cs="Arial"/>
          <w:i/>
          <w:iCs/>
          <w:color w:val="666666"/>
          <w:sz w:val="16"/>
          <w:szCs w:val="16"/>
        </w:rPr>
        <w:t>Arifah</w:t>
      </w:r>
      <w:proofErr w:type="spellEnd"/>
      <w:r w:rsidRPr="00694C66">
        <w:rPr>
          <w:rFonts w:ascii="Arial" w:hAnsi="Arial" w:cs="Arial"/>
          <w:i/>
          <w:iCs/>
          <w:color w:val="666666"/>
          <w:sz w:val="16"/>
          <w:szCs w:val="16"/>
        </w:rPr>
        <w:t xml:space="preserve"> et al., 2023) use this exact public dataset, satisfying the requirement that at least one reviewed paper relies on a dataset also available to this project and enabling direct comparison of results in Part C and Part D.</w:t>
      </w:r>
    </w:p>
    <w:sectPr w:rsidR="00920BE6" w:rsidRPr="00694C66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E3F90"/>
    <w:multiLevelType w:val="hybridMultilevel"/>
    <w:tmpl w:val="5F0E349A"/>
    <w:lvl w:ilvl="0" w:tplc="4A46BB1C">
      <w:start w:val="1"/>
      <w:numFmt w:val="bullet"/>
      <w:lvlText w:val="●"/>
      <w:lvlJc w:val="left"/>
      <w:pPr>
        <w:ind w:left="720" w:hanging="360"/>
      </w:pPr>
    </w:lvl>
    <w:lvl w:ilvl="1" w:tplc="90882D7E">
      <w:start w:val="1"/>
      <w:numFmt w:val="bullet"/>
      <w:lvlText w:val="○"/>
      <w:lvlJc w:val="left"/>
      <w:pPr>
        <w:ind w:left="1440" w:hanging="360"/>
      </w:pPr>
    </w:lvl>
    <w:lvl w:ilvl="2" w:tplc="BB32E476">
      <w:start w:val="1"/>
      <w:numFmt w:val="bullet"/>
      <w:lvlText w:val="■"/>
      <w:lvlJc w:val="left"/>
      <w:pPr>
        <w:ind w:left="2160" w:hanging="360"/>
      </w:pPr>
    </w:lvl>
    <w:lvl w:ilvl="3" w:tplc="1914557C">
      <w:start w:val="1"/>
      <w:numFmt w:val="bullet"/>
      <w:lvlText w:val="●"/>
      <w:lvlJc w:val="left"/>
      <w:pPr>
        <w:ind w:left="2880" w:hanging="360"/>
      </w:pPr>
    </w:lvl>
    <w:lvl w:ilvl="4" w:tplc="CC42ACEA">
      <w:start w:val="1"/>
      <w:numFmt w:val="bullet"/>
      <w:lvlText w:val="○"/>
      <w:lvlJc w:val="left"/>
      <w:pPr>
        <w:ind w:left="3600" w:hanging="360"/>
      </w:pPr>
    </w:lvl>
    <w:lvl w:ilvl="5" w:tplc="342CD4F6">
      <w:start w:val="1"/>
      <w:numFmt w:val="bullet"/>
      <w:lvlText w:val="■"/>
      <w:lvlJc w:val="left"/>
      <w:pPr>
        <w:ind w:left="4320" w:hanging="360"/>
      </w:pPr>
    </w:lvl>
    <w:lvl w:ilvl="6" w:tplc="7EF60E86">
      <w:start w:val="1"/>
      <w:numFmt w:val="bullet"/>
      <w:lvlText w:val="●"/>
      <w:lvlJc w:val="left"/>
      <w:pPr>
        <w:ind w:left="5040" w:hanging="360"/>
      </w:pPr>
    </w:lvl>
    <w:lvl w:ilvl="7" w:tplc="B0206BFC">
      <w:start w:val="1"/>
      <w:numFmt w:val="bullet"/>
      <w:lvlText w:val="●"/>
      <w:lvlJc w:val="left"/>
      <w:pPr>
        <w:ind w:left="5760" w:hanging="360"/>
      </w:pPr>
    </w:lvl>
    <w:lvl w:ilvl="8" w:tplc="3AC644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BE6"/>
    <w:rsid w:val="00694C66"/>
    <w:rsid w:val="00920BE6"/>
    <w:rsid w:val="00B538DB"/>
    <w:rsid w:val="00D4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DA6E"/>
  <w15:docId w15:val="{7EA52D47-C5E7-4BA1-A779-20A90C57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A - Related Work and Data</vt:lpstr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A - Related Work and Data</dc:title>
  <dc:creator>Charlton</dc:creator>
  <cp:lastModifiedBy>Charlton Ismael Allen</cp:lastModifiedBy>
  <cp:revision>4</cp:revision>
  <dcterms:created xsi:type="dcterms:W3CDTF">2026-09-26T18:53:00Z</dcterms:created>
  <dcterms:modified xsi:type="dcterms:W3CDTF">2026-09-26T19:26:00Z</dcterms:modified>
</cp:coreProperties>
</file>