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499"/>
        <w:gridCol w:w="4379"/>
        <w:gridCol w:w="1908"/>
        <w:gridCol w:w="2554"/>
      </w:tblGrid>
      <w:tr w:rsidR="00B948F1" w:rsidRPr="00B948F1" w:rsidTr="00B948F1">
        <w:trPr>
          <w:trHeight w:val="63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000000"/>
                <w:sz w:val="20"/>
                <w:szCs w:val="20"/>
              </w:rPr>
              <w:t>STT</w:t>
            </w:r>
          </w:p>
        </w:tc>
        <w:tc>
          <w:tcPr>
            <w:tcW w:w="504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000000"/>
                <w:sz w:val="22"/>
              </w:rPr>
              <w:t>Lỗi vi phạm</w:t>
            </w:r>
          </w:p>
        </w:tc>
        <w:tc>
          <w:tcPr>
            <w:tcW w:w="2158"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000000"/>
                <w:sz w:val="22"/>
              </w:rPr>
              <w:t>Quy định tại điểm, khoản, Điều</w:t>
            </w:r>
          </w:p>
        </w:tc>
        <w:tc>
          <w:tcPr>
            <w:tcW w:w="2697" w:type="dxa"/>
            <w:tcBorders>
              <w:top w:val="single" w:sz="8" w:space="0" w:color="333333"/>
              <w:left w:val="single" w:sz="8" w:space="0" w:color="333333"/>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000000"/>
                <w:sz w:val="22"/>
              </w:rPr>
              <w:t>Mức phạt chính và bổ sung</w:t>
            </w:r>
          </w:p>
        </w:tc>
      </w:tr>
      <w:tr w:rsidR="00B948F1" w:rsidRPr="00B948F1" w:rsidTr="00B948F1">
        <w:trPr>
          <w:trHeight w:val="100"/>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làn đường, chuyển hướng, lùi, quay đầu xe</w:t>
            </w:r>
          </w:p>
        </w:tc>
      </w:tr>
      <w:tr w:rsidR="00B948F1" w:rsidRPr="00B948F1" w:rsidTr="00B948F1">
        <w:trPr>
          <w:trHeight w:val="2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Chuyển làn đường không đúng nơi cho phép hoặc không có tín hiệu báo trước, trừ các hành vi vi phạm quy định bên dưới</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628"/>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không đi bên phải theo chiều đi của mình; đi không đúng phần đường hoặc làn đường quy định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48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Chuyển hướng không nhường đường cho xe đi ngược chiều, người đi bộ</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48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Chuyển hướng không giảm tốc độ hoặc không có tín hiệu báo hướng rẽ</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702"/>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 vào đường cấm, khu vực cấm; đi ngược chiều của đường một chiều, đường có biển “Cấm đi ngược chiều”</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152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Lùi xe ở đường một chiều, ở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l,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134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Quay đầu xe tại nơi đường bộ giao nhau cùng mức với đường sắt; không tuân thủ các quy định về dừng xe, đỗ xe tại nơi đường bộ giao nhau cùng mức với đường sắt; dừng xe, đỗ xe trong phạm vi an toàn của đường sắt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d,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134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 xml:space="preserve">Không tuân thủ các quy định khi vào hoặc ra đường cao tốc; điều khiển xe chạy ở làn dừng xe khẩn cấp hoặc phần lề đường của đường cao tốc; quay đầu xe, lui xe trên </w:t>
            </w:r>
            <w:r w:rsidRPr="00B948F1">
              <w:rPr>
                <w:rFonts w:eastAsia="Times New Roman" w:cs="Times New Roman"/>
                <w:color w:val="000000"/>
                <w:sz w:val="24"/>
                <w:szCs w:val="24"/>
              </w:rPr>
              <w:lastRenderedPageBreak/>
              <w:t>đường cao tốc; chuyển làn đường không đúng nơi cho phép hoặc không có tín hiệu báo trước khi chạy trên đường cao tốc</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điểm i,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193"/>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lastRenderedPageBreak/>
              <w:t> Lỗi liên quan đến vượt xe, nhường đường</w:t>
            </w:r>
          </w:p>
        </w:tc>
      </w:tr>
      <w:tr w:rsidR="00B948F1" w:rsidRPr="00B948F1" w:rsidTr="00B948F1">
        <w:trPr>
          <w:trHeight w:val="48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tuân thủ các quy định về nhường đường tại nơi đường bộ giao nhau, trừ các hành vi vi phạm quy định tại Điểm d, Điểm đ Khoản 2 Điều này;</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h,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755"/>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giảm tốc độ và nhường đường khi điều khiển xe chạy từ trong ngõ, đường nhánh ra đường chính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d,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65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nhường đường cho xe xin vượt khi có đủ điều kiện an toàn; không nhường đường cho xe đi trên đường ưu tiên, đường chính từ bất kỳ hướng nào tới tại nơi đường giao nhau</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đ,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75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nhường đường hoặc gây cản trở xe được quyền ưu tiên đang phát tín hiệu ưu tiên đi làm nhiệm vụ</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g,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Vượt trong các trường hợp cấm vượt; không có báo hiệu trước khi vượt; vượt bên phải xe khác trong trường hợp không được phép</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5,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2 - 3 triệu đồng</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Tránh, vượt không đúng quy định gây tai nạn giao thông</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143"/>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dừng, đỗ xe</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Đỗ xe chiếm một phần đường xe chạy không đặt ngay báo hiệu nguy hiểm theo quy định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đ,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9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Dừng xe, đỗ xe không có tín hiệu báo cho người điều khiển phương tiện khác biết.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d,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đỗ xe trên dốc không chèn bánh; mở cửa xe, để cửa xe mở không bảo đảm an toàn</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g,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Dừng xe không sát theo lề đường, hè phố phía bên phải theo chiều đi hoặc bánh xe gần nhất cách lề đường, hè phố quá 0,25 m; nơi có biển “Cấm dừng xe và đỗ xe”; rời vị trí lái, tắt máy khi dừng xe; dừng xe, đỗ xe không đúng vị trí quy định ở những đoạn có bố trí nơi dừng xe, đỗ xe; dừng xe, đỗ xe trên phần đường dành cho người đi bộ qua đường</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h,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287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Dừng xe, đỗ xe tại vị trí: Bên trái đường một chiều;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đ,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963"/>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 xml:space="preserve">Đỗ xe không sát theo lề đường, hè phố phía bên phải theo chiều đi hoặc bánh xe gần nhất cách lề đường, hè phố quá 0,25 m; đỗ xe nơi có biển “Cấm đỗ xe” hoặc biển </w:t>
            </w:r>
            <w:r w:rsidRPr="00B948F1">
              <w:rPr>
                <w:rFonts w:eastAsia="Times New Roman" w:cs="Times New Roman"/>
                <w:color w:val="000000"/>
                <w:sz w:val="24"/>
                <w:szCs w:val="24"/>
              </w:rPr>
              <w:lastRenderedPageBreak/>
              <w:t>“Cấm dừng xe và đỗ xe”; đỗ, để xe ở hè phố trái quy định của pháp luật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điểm e,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7</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Dừng xe, đỗ xe, quay đầu xe trái quy định gây ùn tắc giao thông</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đ,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tuân thủ các quy định về dừng xe, đỗ xe trên đường cao tốc</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i,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241"/>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tốc độ</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chạy quá tốc độ quy định từ 05 km/h đến dưới 10 km/h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chạy quá tốc độ quy định từ 10 km/h đến 20 km/h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5,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2 - 3 triệu đồng</w:t>
            </w:r>
          </w:p>
        </w:tc>
      </w:tr>
      <w:tr w:rsidR="00B948F1" w:rsidRPr="00B948F1" w:rsidTr="00B948F1">
        <w:trPr>
          <w:trHeight w:val="3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chạy quá tốc độ quy định trên 20 km/h đến 35 km/h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6,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4 - 6 triệu đồng</w:t>
            </w:r>
          </w:p>
        </w:tc>
      </w:tr>
      <w:tr w:rsidR="00B948F1" w:rsidRPr="00B948F1" w:rsidTr="00B948F1">
        <w:trPr>
          <w:trHeight w:val="345"/>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chạy quá tốc độ quy định trên 35 km/h; điều khiển xe đi ngược chiều trên đường cao tốc</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472"/>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lạng lách, đánh võng; chạy quá tốc độ đuổi nhau trên đường bộ</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d,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310"/>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đèn tín hiệu giao thông</w:t>
            </w:r>
          </w:p>
        </w:tc>
      </w:tr>
      <w:tr w:rsidR="00B948F1" w:rsidRPr="00B948F1" w:rsidTr="00B948F1">
        <w:trPr>
          <w:trHeight w:val="432"/>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chấp hành hiệu lệnh, chỉ dẫn của biển báo hiệu, vạch kẻ đường</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61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chấp hành hiệu lệnh của đèn tín hiệu giao thông (trừ trường hợp quy định bên dưới)</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l,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i/>
                <w:iCs/>
                <w:color w:val="000000"/>
                <w:sz w:val="24"/>
                <w:szCs w:val="24"/>
              </w:rPr>
              <w:t>(giữ GPLX 2 tháng nếu gây TNGT)</w:t>
            </w:r>
          </w:p>
        </w:tc>
      </w:tr>
      <w:tr w:rsidR="00B948F1" w:rsidRPr="00B948F1" w:rsidTr="00B948F1">
        <w:trPr>
          <w:trHeight w:val="36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Khi tín hiệu đèn giao thông đã chuyển sang màu đỏ nhưng không dừng lại trước vạch dừng mà vẫn tiếp tục đi</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k,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800.000-1,2 triệu đồng</w:t>
            </w:r>
          </w:p>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i/>
                <w:iCs/>
                <w:color w:val="000000"/>
                <w:sz w:val="24"/>
                <w:szCs w:val="24"/>
              </w:rPr>
              <w:t> (giữ GPLX 2 tháng nếu gây TNGT)</w:t>
            </w:r>
          </w:p>
        </w:tc>
      </w:tr>
      <w:tr w:rsidR="00B948F1" w:rsidRPr="00B948F1" w:rsidTr="00B948F1">
        <w:trPr>
          <w:trHeight w:val="27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chấp hành hiệu lệnh, hướng dẫn của người điều khiển giao thông, người kiểm soát giao thông</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e,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171"/>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sử dụng còi, đèn</w:t>
            </w:r>
          </w:p>
        </w:tc>
      </w:tr>
      <w:tr w:rsidR="00B948F1" w:rsidRPr="00B948F1" w:rsidTr="00B948F1">
        <w:trPr>
          <w:trHeight w:val="642"/>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sử dụng đủ đèn chiếu sáng khi trời tối hoặc khi sương mù, thời tiết xấu hạn chế tầm nhìn; sử dụng đèn chiếu xa khi tránh xe đi ngược chiều</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g,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411"/>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Bấm còi hơi, sử dụng đèn chiếu xa trong đô thị, khu đông dân cư</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23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Xe không được quyền ưu tiên sử dụng tín hiệu còi, cờ, đèn của xe ưu tiên</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h, khoản 3,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600.000 - 800.000đ</w:t>
            </w:r>
          </w:p>
        </w:tc>
      </w:tr>
      <w:tr w:rsidR="00B948F1" w:rsidRPr="00B948F1" w:rsidTr="00B948F1">
        <w:trPr>
          <w:trHeight w:val="80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Chạy trong hầm đường bộ không sử dụng đèn chiếu sáng gần; lùi xe, quay đầu xe trong hầm đường bộ; dừng xe, đỗ xe, vượt xe trong hầm đường bộ không đúng nơi quy định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99"/>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điều khiển xe gây tai nạn giao thông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có liên quan trực tiếp đến vụ tai nạn giao thông mà không dừng lại, không giữ nguyên hiện trường, không tham gia cấp cứu người bị nạn, (trừ hành vi nêu bên dưới)</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m,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r w:rsidR="00B948F1" w:rsidRPr="00B948F1" w:rsidTr="00B948F1">
        <w:trPr>
          <w:trHeight w:val="992"/>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Gây TNGT không dừng lại, không giữ nguyên hiện trường, bỏ trốn không đến trình báo với cơ quan có thẩm quyền, không tham gia cấp cứu người bị nạn</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6,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4 - 6 triệu đồng</w:t>
            </w:r>
          </w:p>
        </w:tc>
      </w:tr>
      <w:tr w:rsidR="00B948F1" w:rsidRPr="00B948F1" w:rsidTr="00B948F1">
        <w:trPr>
          <w:trHeight w:val="1185"/>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chú ý quan sát, điều khiển xe chạy quá tốc độ quy định gây TNGT; tránh, vượt không đúng quy định gây TNGT hoặc không giữ khoảng cách an toàn giữa hai xe theo quy định gây TNGT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39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lastRenderedPageBreak/>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chú ý quan sát, điều khiển xe chạy quá tốc độ quy định gây TNGT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956"/>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lạng lách, đánh võng; chạy quá tốc độ đuổi nhau trên đường bộ gây TNGT hoặc không chấp hành hiệu lệnh dừng xe của người thi hành công vụ</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khoản 9,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15 - 20 triệu đồng</w:t>
            </w:r>
          </w:p>
        </w:tc>
      </w:tr>
      <w:tr w:rsidR="00B948F1" w:rsidRPr="00B948F1" w:rsidTr="00B948F1">
        <w:trPr>
          <w:trHeight w:val="15"/>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t>Lỗi liên quan đến đến sử dụng chất kích thích</w:t>
            </w:r>
          </w:p>
        </w:tc>
      </w:tr>
      <w:tr w:rsidR="00B948F1" w:rsidRPr="00B948F1" w:rsidTr="00B948F1">
        <w:trPr>
          <w:trHeight w:val="923"/>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trên đường mà trong máu hoặc hơi thở có nồng độ cồn nhưng chưa tới mức vi phạm quy định tại Điểm b Khoản 7, Điểm a Khoản 8 Điều5</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5,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2 - 3 triệu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trên đường mà trong máu hoặc hơi thở có nồng độ cồn vượt quá 50 miligam đến 80 miligam/100 mililít máu hoặc vượt quá 0,25 miligam đến 0,4 miligam/1 lít khí thở</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7,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7 - 8 triệu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Tránh xe đi ngược chiều không đúng quy định; không nhường đường cho xe đi ngược chiều theo quy định tại nơi đường hẹp, đường dốc, nơi có chướng ngại vật.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d, khoản 5,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2 - 3 triệu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trên đường mà trong máu hoặc hơi thở có nồng độ cồn vượt quá 80 miligam/100 mililít máu hoặc vượt quá 0,4 miligam/1 lít khí thở</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a, khoản 8,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10 - 15 triệu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chấp hành yêu cầu kiểm tra về chất ma túy, nồng độ cồn của người kiểm soát giao thông hoặc người thi hành công vụ.</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b, khoản 8,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10 - 15 triệu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5</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Điều khiển xe mà trong cơ thể có chất ma túy</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khoản 10,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Giữ GPLX 24 tháng (Nếu có GPLX) hoặc phạt tiền từ 8- 10 triệu đồng (Nếu có GPLX hoặc có nhưng đang bị giữ)</w:t>
            </w:r>
          </w:p>
        </w:tc>
      </w:tr>
      <w:tr w:rsidR="00B948F1" w:rsidRPr="00B948F1" w:rsidTr="00B948F1">
        <w:trPr>
          <w:trHeight w:val="85"/>
        </w:trPr>
        <w:tc>
          <w:tcPr>
            <w:tcW w:w="10315" w:type="dxa"/>
            <w:gridSpan w:val="4"/>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b/>
                <w:bCs/>
                <w:color w:val="339966"/>
                <w:sz w:val="24"/>
                <w:szCs w:val="24"/>
              </w:rPr>
              <w:lastRenderedPageBreak/>
              <w:t>Một số lỗi khác</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Không thực hiện biện pháp bảo đảm an toàn theo quy định khi xe ô tô bị hư hỏng ngay tại nơi đường bộ giao nhau cùng mức với đường sắt</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h, khoản 4,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800.000 - 1.200.000 đồng</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2</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Người điều khiển, người ngồi hàng ghế trước có trang bị dây an toàn mà không thắt dây khi xe đang chạy</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k,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Chở người ngồi hàng ghế trước có trang bị dây an toàn mà không thắt dây khi xe đang chạy</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l, khoản 1,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100.000 - 200.000đ</w:t>
            </w:r>
          </w:p>
        </w:tc>
      </w:tr>
      <w:tr w:rsidR="00B948F1" w:rsidRPr="00B948F1" w:rsidTr="00B948F1">
        <w:trPr>
          <w:trHeight w:val="48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4</w:t>
            </w:r>
          </w:p>
        </w:tc>
        <w:tc>
          <w:tcPr>
            <w:tcW w:w="504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B948F1" w:rsidRPr="00B948F1" w:rsidRDefault="00B948F1" w:rsidP="00B948F1">
            <w:pPr>
              <w:spacing w:after="0" w:line="360" w:lineRule="atLeast"/>
              <w:rPr>
                <w:rFonts w:eastAsia="Times New Roman" w:cs="Times New Roman"/>
                <w:color w:val="000000"/>
                <w:sz w:val="24"/>
                <w:szCs w:val="24"/>
              </w:rPr>
            </w:pPr>
            <w:r w:rsidRPr="00B948F1">
              <w:rPr>
                <w:rFonts w:eastAsia="Times New Roman" w:cs="Times New Roman"/>
                <w:color w:val="000000"/>
                <w:sz w:val="24"/>
                <w:szCs w:val="24"/>
              </w:rPr>
              <w:t>Để người ngồi trên buồng lái quá số lượng quy định</w:t>
            </w:r>
          </w:p>
        </w:tc>
        <w:tc>
          <w:tcPr>
            <w:tcW w:w="2158"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điểm c, khoản 2, Điều 5</w:t>
            </w:r>
          </w:p>
        </w:tc>
        <w:tc>
          <w:tcPr>
            <w:tcW w:w="2697" w:type="dxa"/>
            <w:tcBorders>
              <w:top w:val="nil"/>
              <w:left w:val="nil"/>
              <w:bottom w:val="single" w:sz="8" w:space="0" w:color="333333"/>
              <w:right w:val="single" w:sz="8" w:space="0" w:color="333333"/>
            </w:tcBorders>
            <w:shd w:val="clear" w:color="auto" w:fill="auto"/>
            <w:vAlign w:val="center"/>
            <w:hideMark/>
          </w:tcPr>
          <w:p w:rsidR="00B948F1" w:rsidRPr="00B948F1" w:rsidRDefault="00B948F1" w:rsidP="00B948F1">
            <w:pPr>
              <w:spacing w:after="0" w:line="360" w:lineRule="atLeast"/>
              <w:jc w:val="center"/>
              <w:rPr>
                <w:rFonts w:eastAsia="Times New Roman" w:cs="Times New Roman"/>
                <w:color w:val="000000"/>
                <w:sz w:val="24"/>
                <w:szCs w:val="24"/>
              </w:rPr>
            </w:pPr>
            <w:r w:rsidRPr="00B948F1">
              <w:rPr>
                <w:rFonts w:eastAsia="Times New Roman" w:cs="Times New Roman"/>
                <w:color w:val="000000"/>
                <w:sz w:val="24"/>
                <w:szCs w:val="24"/>
              </w:rPr>
              <w:t>300.000 - 400.000đ</w:t>
            </w:r>
          </w:p>
        </w:tc>
      </w:tr>
    </w:tbl>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F1"/>
    <w:rsid w:val="00B948F1"/>
    <w:rsid w:val="00E2427E"/>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E571-B9E9-4441-BDE2-5C8EED5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28028">
      <w:bodyDiv w:val="1"/>
      <w:marLeft w:val="0"/>
      <w:marRight w:val="0"/>
      <w:marTop w:val="0"/>
      <w:marBottom w:val="0"/>
      <w:divBdr>
        <w:top w:val="none" w:sz="0" w:space="0" w:color="auto"/>
        <w:left w:val="none" w:sz="0" w:space="0" w:color="auto"/>
        <w:bottom w:val="none" w:sz="0" w:space="0" w:color="auto"/>
        <w:right w:val="none" w:sz="0" w:space="0" w:color="auto"/>
      </w:divBdr>
      <w:divsChild>
        <w:div w:id="1179273737">
          <w:marLeft w:val="0"/>
          <w:marRight w:val="0"/>
          <w:marTop w:val="0"/>
          <w:marBottom w:val="0"/>
          <w:divBdr>
            <w:top w:val="none" w:sz="0" w:space="0" w:color="auto"/>
            <w:left w:val="none" w:sz="0" w:space="0" w:color="auto"/>
            <w:bottom w:val="none" w:sz="0" w:space="0" w:color="auto"/>
            <w:right w:val="none" w:sz="0" w:space="0" w:color="auto"/>
          </w:divBdr>
        </w:div>
        <w:div w:id="1407141822">
          <w:marLeft w:val="0"/>
          <w:marRight w:val="0"/>
          <w:marTop w:val="0"/>
          <w:marBottom w:val="0"/>
          <w:divBdr>
            <w:top w:val="none" w:sz="0" w:space="0" w:color="auto"/>
            <w:left w:val="none" w:sz="0" w:space="0" w:color="auto"/>
            <w:bottom w:val="none" w:sz="0" w:space="0" w:color="auto"/>
            <w:right w:val="none" w:sz="0" w:space="0" w:color="auto"/>
          </w:divBdr>
        </w:div>
        <w:div w:id="1586382223">
          <w:marLeft w:val="0"/>
          <w:marRight w:val="0"/>
          <w:marTop w:val="0"/>
          <w:marBottom w:val="0"/>
          <w:divBdr>
            <w:top w:val="none" w:sz="0" w:space="0" w:color="auto"/>
            <w:left w:val="none" w:sz="0" w:space="0" w:color="auto"/>
            <w:bottom w:val="none" w:sz="0" w:space="0" w:color="auto"/>
            <w:right w:val="none" w:sz="0" w:space="0" w:color="auto"/>
          </w:divBdr>
        </w:div>
        <w:div w:id="149374893">
          <w:marLeft w:val="0"/>
          <w:marRight w:val="0"/>
          <w:marTop w:val="0"/>
          <w:marBottom w:val="0"/>
          <w:divBdr>
            <w:top w:val="none" w:sz="0" w:space="0" w:color="auto"/>
            <w:left w:val="none" w:sz="0" w:space="0" w:color="auto"/>
            <w:bottom w:val="none" w:sz="0" w:space="0" w:color="auto"/>
            <w:right w:val="none" w:sz="0" w:space="0" w:color="auto"/>
          </w:divBdr>
        </w:div>
        <w:div w:id="1666125468">
          <w:marLeft w:val="0"/>
          <w:marRight w:val="0"/>
          <w:marTop w:val="0"/>
          <w:marBottom w:val="0"/>
          <w:divBdr>
            <w:top w:val="none" w:sz="0" w:space="0" w:color="auto"/>
            <w:left w:val="none" w:sz="0" w:space="0" w:color="auto"/>
            <w:bottom w:val="none" w:sz="0" w:space="0" w:color="auto"/>
            <w:right w:val="none" w:sz="0" w:space="0" w:color="auto"/>
          </w:divBdr>
        </w:div>
        <w:div w:id="58096167">
          <w:marLeft w:val="0"/>
          <w:marRight w:val="0"/>
          <w:marTop w:val="0"/>
          <w:marBottom w:val="0"/>
          <w:divBdr>
            <w:top w:val="none" w:sz="0" w:space="0" w:color="auto"/>
            <w:left w:val="none" w:sz="0" w:space="0" w:color="auto"/>
            <w:bottom w:val="none" w:sz="0" w:space="0" w:color="auto"/>
            <w:right w:val="none" w:sz="0" w:space="0" w:color="auto"/>
          </w:divBdr>
        </w:div>
        <w:div w:id="1458184003">
          <w:marLeft w:val="0"/>
          <w:marRight w:val="0"/>
          <w:marTop w:val="0"/>
          <w:marBottom w:val="0"/>
          <w:divBdr>
            <w:top w:val="none" w:sz="0" w:space="0" w:color="auto"/>
            <w:left w:val="none" w:sz="0" w:space="0" w:color="auto"/>
            <w:bottom w:val="none" w:sz="0" w:space="0" w:color="auto"/>
            <w:right w:val="none" w:sz="0" w:space="0" w:color="auto"/>
          </w:divBdr>
        </w:div>
        <w:div w:id="1484930826">
          <w:marLeft w:val="0"/>
          <w:marRight w:val="0"/>
          <w:marTop w:val="0"/>
          <w:marBottom w:val="0"/>
          <w:divBdr>
            <w:top w:val="none" w:sz="0" w:space="0" w:color="auto"/>
            <w:left w:val="none" w:sz="0" w:space="0" w:color="auto"/>
            <w:bottom w:val="none" w:sz="0" w:space="0" w:color="auto"/>
            <w:right w:val="none" w:sz="0" w:space="0" w:color="auto"/>
          </w:divBdr>
        </w:div>
        <w:div w:id="2070574108">
          <w:marLeft w:val="0"/>
          <w:marRight w:val="0"/>
          <w:marTop w:val="0"/>
          <w:marBottom w:val="0"/>
          <w:divBdr>
            <w:top w:val="none" w:sz="0" w:space="0" w:color="auto"/>
            <w:left w:val="none" w:sz="0" w:space="0" w:color="auto"/>
            <w:bottom w:val="none" w:sz="0" w:space="0" w:color="auto"/>
            <w:right w:val="none" w:sz="0" w:space="0" w:color="auto"/>
          </w:divBdr>
        </w:div>
        <w:div w:id="120222716">
          <w:marLeft w:val="0"/>
          <w:marRight w:val="0"/>
          <w:marTop w:val="0"/>
          <w:marBottom w:val="0"/>
          <w:divBdr>
            <w:top w:val="none" w:sz="0" w:space="0" w:color="auto"/>
            <w:left w:val="none" w:sz="0" w:space="0" w:color="auto"/>
            <w:bottom w:val="none" w:sz="0" w:space="0" w:color="auto"/>
            <w:right w:val="none" w:sz="0" w:space="0" w:color="auto"/>
          </w:divBdr>
        </w:div>
        <w:div w:id="1002123025">
          <w:marLeft w:val="0"/>
          <w:marRight w:val="0"/>
          <w:marTop w:val="0"/>
          <w:marBottom w:val="0"/>
          <w:divBdr>
            <w:top w:val="none" w:sz="0" w:space="0" w:color="auto"/>
            <w:left w:val="none" w:sz="0" w:space="0" w:color="auto"/>
            <w:bottom w:val="none" w:sz="0" w:space="0" w:color="auto"/>
            <w:right w:val="none" w:sz="0" w:space="0" w:color="auto"/>
          </w:divBdr>
        </w:div>
        <w:div w:id="880675845">
          <w:marLeft w:val="0"/>
          <w:marRight w:val="0"/>
          <w:marTop w:val="0"/>
          <w:marBottom w:val="0"/>
          <w:divBdr>
            <w:top w:val="none" w:sz="0" w:space="0" w:color="auto"/>
            <w:left w:val="none" w:sz="0" w:space="0" w:color="auto"/>
            <w:bottom w:val="none" w:sz="0" w:space="0" w:color="auto"/>
            <w:right w:val="none" w:sz="0" w:space="0" w:color="auto"/>
          </w:divBdr>
        </w:div>
        <w:div w:id="956258338">
          <w:marLeft w:val="0"/>
          <w:marRight w:val="0"/>
          <w:marTop w:val="0"/>
          <w:marBottom w:val="0"/>
          <w:divBdr>
            <w:top w:val="none" w:sz="0" w:space="0" w:color="auto"/>
            <w:left w:val="none" w:sz="0" w:space="0" w:color="auto"/>
            <w:bottom w:val="none" w:sz="0" w:space="0" w:color="auto"/>
            <w:right w:val="none" w:sz="0" w:space="0" w:color="auto"/>
          </w:divBdr>
        </w:div>
        <w:div w:id="876696791">
          <w:marLeft w:val="0"/>
          <w:marRight w:val="0"/>
          <w:marTop w:val="0"/>
          <w:marBottom w:val="0"/>
          <w:divBdr>
            <w:top w:val="none" w:sz="0" w:space="0" w:color="auto"/>
            <w:left w:val="none" w:sz="0" w:space="0" w:color="auto"/>
            <w:bottom w:val="none" w:sz="0" w:space="0" w:color="auto"/>
            <w:right w:val="none" w:sz="0" w:space="0" w:color="auto"/>
          </w:divBdr>
        </w:div>
        <w:div w:id="1812751891">
          <w:marLeft w:val="0"/>
          <w:marRight w:val="0"/>
          <w:marTop w:val="0"/>
          <w:marBottom w:val="0"/>
          <w:divBdr>
            <w:top w:val="none" w:sz="0" w:space="0" w:color="auto"/>
            <w:left w:val="none" w:sz="0" w:space="0" w:color="auto"/>
            <w:bottom w:val="none" w:sz="0" w:space="0" w:color="auto"/>
            <w:right w:val="none" w:sz="0" w:space="0" w:color="auto"/>
          </w:divBdr>
        </w:div>
        <w:div w:id="2093768669">
          <w:marLeft w:val="0"/>
          <w:marRight w:val="0"/>
          <w:marTop w:val="0"/>
          <w:marBottom w:val="0"/>
          <w:divBdr>
            <w:top w:val="none" w:sz="0" w:space="0" w:color="auto"/>
            <w:left w:val="none" w:sz="0" w:space="0" w:color="auto"/>
            <w:bottom w:val="none" w:sz="0" w:space="0" w:color="auto"/>
            <w:right w:val="none" w:sz="0" w:space="0" w:color="auto"/>
          </w:divBdr>
        </w:div>
        <w:div w:id="1453285963">
          <w:marLeft w:val="0"/>
          <w:marRight w:val="0"/>
          <w:marTop w:val="0"/>
          <w:marBottom w:val="0"/>
          <w:divBdr>
            <w:top w:val="none" w:sz="0" w:space="0" w:color="auto"/>
            <w:left w:val="none" w:sz="0" w:space="0" w:color="auto"/>
            <w:bottom w:val="none" w:sz="0" w:space="0" w:color="auto"/>
            <w:right w:val="none" w:sz="0" w:space="0" w:color="auto"/>
          </w:divBdr>
        </w:div>
        <w:div w:id="1907378123">
          <w:marLeft w:val="0"/>
          <w:marRight w:val="0"/>
          <w:marTop w:val="0"/>
          <w:marBottom w:val="0"/>
          <w:divBdr>
            <w:top w:val="none" w:sz="0" w:space="0" w:color="auto"/>
            <w:left w:val="none" w:sz="0" w:space="0" w:color="auto"/>
            <w:bottom w:val="none" w:sz="0" w:space="0" w:color="auto"/>
            <w:right w:val="none" w:sz="0" w:space="0" w:color="auto"/>
          </w:divBdr>
        </w:div>
        <w:div w:id="1209801780">
          <w:marLeft w:val="0"/>
          <w:marRight w:val="0"/>
          <w:marTop w:val="0"/>
          <w:marBottom w:val="0"/>
          <w:divBdr>
            <w:top w:val="none" w:sz="0" w:space="0" w:color="auto"/>
            <w:left w:val="none" w:sz="0" w:space="0" w:color="auto"/>
            <w:bottom w:val="none" w:sz="0" w:space="0" w:color="auto"/>
            <w:right w:val="none" w:sz="0" w:space="0" w:color="auto"/>
          </w:divBdr>
        </w:div>
        <w:div w:id="189994700">
          <w:marLeft w:val="0"/>
          <w:marRight w:val="0"/>
          <w:marTop w:val="0"/>
          <w:marBottom w:val="0"/>
          <w:divBdr>
            <w:top w:val="none" w:sz="0" w:space="0" w:color="auto"/>
            <w:left w:val="none" w:sz="0" w:space="0" w:color="auto"/>
            <w:bottom w:val="none" w:sz="0" w:space="0" w:color="auto"/>
            <w:right w:val="none" w:sz="0" w:space="0" w:color="auto"/>
          </w:divBdr>
        </w:div>
        <w:div w:id="809247183">
          <w:marLeft w:val="0"/>
          <w:marRight w:val="0"/>
          <w:marTop w:val="0"/>
          <w:marBottom w:val="0"/>
          <w:divBdr>
            <w:top w:val="none" w:sz="0" w:space="0" w:color="auto"/>
            <w:left w:val="none" w:sz="0" w:space="0" w:color="auto"/>
            <w:bottom w:val="none" w:sz="0" w:space="0" w:color="auto"/>
            <w:right w:val="none" w:sz="0" w:space="0" w:color="auto"/>
          </w:divBdr>
        </w:div>
        <w:div w:id="118762016">
          <w:marLeft w:val="0"/>
          <w:marRight w:val="0"/>
          <w:marTop w:val="0"/>
          <w:marBottom w:val="0"/>
          <w:divBdr>
            <w:top w:val="none" w:sz="0" w:space="0" w:color="auto"/>
            <w:left w:val="none" w:sz="0" w:space="0" w:color="auto"/>
            <w:bottom w:val="none" w:sz="0" w:space="0" w:color="auto"/>
            <w:right w:val="none" w:sz="0" w:space="0" w:color="auto"/>
          </w:divBdr>
        </w:div>
        <w:div w:id="615479948">
          <w:marLeft w:val="0"/>
          <w:marRight w:val="0"/>
          <w:marTop w:val="0"/>
          <w:marBottom w:val="0"/>
          <w:divBdr>
            <w:top w:val="none" w:sz="0" w:space="0" w:color="auto"/>
            <w:left w:val="none" w:sz="0" w:space="0" w:color="auto"/>
            <w:bottom w:val="none" w:sz="0" w:space="0" w:color="auto"/>
            <w:right w:val="none" w:sz="0" w:space="0" w:color="auto"/>
          </w:divBdr>
        </w:div>
        <w:div w:id="1919438976">
          <w:marLeft w:val="0"/>
          <w:marRight w:val="0"/>
          <w:marTop w:val="0"/>
          <w:marBottom w:val="0"/>
          <w:divBdr>
            <w:top w:val="none" w:sz="0" w:space="0" w:color="auto"/>
            <w:left w:val="none" w:sz="0" w:space="0" w:color="auto"/>
            <w:bottom w:val="none" w:sz="0" w:space="0" w:color="auto"/>
            <w:right w:val="none" w:sz="0" w:space="0" w:color="auto"/>
          </w:divBdr>
        </w:div>
        <w:div w:id="1308783804">
          <w:marLeft w:val="0"/>
          <w:marRight w:val="0"/>
          <w:marTop w:val="0"/>
          <w:marBottom w:val="0"/>
          <w:divBdr>
            <w:top w:val="none" w:sz="0" w:space="0" w:color="auto"/>
            <w:left w:val="none" w:sz="0" w:space="0" w:color="auto"/>
            <w:bottom w:val="none" w:sz="0" w:space="0" w:color="auto"/>
            <w:right w:val="none" w:sz="0" w:space="0" w:color="auto"/>
          </w:divBdr>
        </w:div>
        <w:div w:id="108160946">
          <w:marLeft w:val="0"/>
          <w:marRight w:val="0"/>
          <w:marTop w:val="0"/>
          <w:marBottom w:val="0"/>
          <w:divBdr>
            <w:top w:val="none" w:sz="0" w:space="0" w:color="auto"/>
            <w:left w:val="none" w:sz="0" w:space="0" w:color="auto"/>
            <w:bottom w:val="none" w:sz="0" w:space="0" w:color="auto"/>
            <w:right w:val="none" w:sz="0" w:space="0" w:color="auto"/>
          </w:divBdr>
        </w:div>
        <w:div w:id="830484256">
          <w:marLeft w:val="0"/>
          <w:marRight w:val="0"/>
          <w:marTop w:val="0"/>
          <w:marBottom w:val="0"/>
          <w:divBdr>
            <w:top w:val="none" w:sz="0" w:space="0" w:color="auto"/>
            <w:left w:val="none" w:sz="0" w:space="0" w:color="auto"/>
            <w:bottom w:val="none" w:sz="0" w:space="0" w:color="auto"/>
            <w:right w:val="none" w:sz="0" w:space="0" w:color="auto"/>
          </w:divBdr>
        </w:div>
        <w:div w:id="1666013865">
          <w:marLeft w:val="0"/>
          <w:marRight w:val="0"/>
          <w:marTop w:val="0"/>
          <w:marBottom w:val="0"/>
          <w:divBdr>
            <w:top w:val="none" w:sz="0" w:space="0" w:color="auto"/>
            <w:left w:val="none" w:sz="0" w:space="0" w:color="auto"/>
            <w:bottom w:val="none" w:sz="0" w:space="0" w:color="auto"/>
            <w:right w:val="none" w:sz="0" w:space="0" w:color="auto"/>
          </w:divBdr>
        </w:div>
        <w:div w:id="654339010">
          <w:marLeft w:val="0"/>
          <w:marRight w:val="0"/>
          <w:marTop w:val="0"/>
          <w:marBottom w:val="0"/>
          <w:divBdr>
            <w:top w:val="none" w:sz="0" w:space="0" w:color="auto"/>
            <w:left w:val="none" w:sz="0" w:space="0" w:color="auto"/>
            <w:bottom w:val="none" w:sz="0" w:space="0" w:color="auto"/>
            <w:right w:val="none" w:sz="0" w:space="0" w:color="auto"/>
          </w:divBdr>
        </w:div>
        <w:div w:id="416904611">
          <w:marLeft w:val="0"/>
          <w:marRight w:val="0"/>
          <w:marTop w:val="0"/>
          <w:marBottom w:val="0"/>
          <w:divBdr>
            <w:top w:val="none" w:sz="0" w:space="0" w:color="auto"/>
            <w:left w:val="none" w:sz="0" w:space="0" w:color="auto"/>
            <w:bottom w:val="none" w:sz="0" w:space="0" w:color="auto"/>
            <w:right w:val="none" w:sz="0" w:space="0" w:color="auto"/>
          </w:divBdr>
        </w:div>
        <w:div w:id="708841477">
          <w:marLeft w:val="0"/>
          <w:marRight w:val="0"/>
          <w:marTop w:val="0"/>
          <w:marBottom w:val="0"/>
          <w:divBdr>
            <w:top w:val="none" w:sz="0" w:space="0" w:color="auto"/>
            <w:left w:val="none" w:sz="0" w:space="0" w:color="auto"/>
            <w:bottom w:val="none" w:sz="0" w:space="0" w:color="auto"/>
            <w:right w:val="none" w:sz="0" w:space="0" w:color="auto"/>
          </w:divBdr>
        </w:div>
        <w:div w:id="195967696">
          <w:marLeft w:val="0"/>
          <w:marRight w:val="0"/>
          <w:marTop w:val="0"/>
          <w:marBottom w:val="0"/>
          <w:divBdr>
            <w:top w:val="none" w:sz="0" w:space="0" w:color="auto"/>
            <w:left w:val="none" w:sz="0" w:space="0" w:color="auto"/>
            <w:bottom w:val="none" w:sz="0" w:space="0" w:color="auto"/>
            <w:right w:val="none" w:sz="0" w:space="0" w:color="auto"/>
          </w:divBdr>
        </w:div>
        <w:div w:id="1470436254">
          <w:marLeft w:val="0"/>
          <w:marRight w:val="0"/>
          <w:marTop w:val="0"/>
          <w:marBottom w:val="0"/>
          <w:divBdr>
            <w:top w:val="none" w:sz="0" w:space="0" w:color="auto"/>
            <w:left w:val="none" w:sz="0" w:space="0" w:color="auto"/>
            <w:bottom w:val="none" w:sz="0" w:space="0" w:color="auto"/>
            <w:right w:val="none" w:sz="0" w:space="0" w:color="auto"/>
          </w:divBdr>
        </w:div>
        <w:div w:id="430441487">
          <w:marLeft w:val="0"/>
          <w:marRight w:val="0"/>
          <w:marTop w:val="0"/>
          <w:marBottom w:val="0"/>
          <w:divBdr>
            <w:top w:val="none" w:sz="0" w:space="0" w:color="auto"/>
            <w:left w:val="none" w:sz="0" w:space="0" w:color="auto"/>
            <w:bottom w:val="none" w:sz="0" w:space="0" w:color="auto"/>
            <w:right w:val="none" w:sz="0" w:space="0" w:color="auto"/>
          </w:divBdr>
        </w:div>
        <w:div w:id="874315925">
          <w:marLeft w:val="0"/>
          <w:marRight w:val="0"/>
          <w:marTop w:val="0"/>
          <w:marBottom w:val="0"/>
          <w:divBdr>
            <w:top w:val="none" w:sz="0" w:space="0" w:color="auto"/>
            <w:left w:val="none" w:sz="0" w:space="0" w:color="auto"/>
            <w:bottom w:val="none" w:sz="0" w:space="0" w:color="auto"/>
            <w:right w:val="none" w:sz="0" w:space="0" w:color="auto"/>
          </w:divBdr>
        </w:div>
        <w:div w:id="1699046855">
          <w:marLeft w:val="0"/>
          <w:marRight w:val="0"/>
          <w:marTop w:val="0"/>
          <w:marBottom w:val="0"/>
          <w:divBdr>
            <w:top w:val="none" w:sz="0" w:space="0" w:color="auto"/>
            <w:left w:val="none" w:sz="0" w:space="0" w:color="auto"/>
            <w:bottom w:val="none" w:sz="0" w:space="0" w:color="auto"/>
            <w:right w:val="none" w:sz="0" w:space="0" w:color="auto"/>
          </w:divBdr>
        </w:div>
        <w:div w:id="566233522">
          <w:marLeft w:val="0"/>
          <w:marRight w:val="0"/>
          <w:marTop w:val="0"/>
          <w:marBottom w:val="0"/>
          <w:divBdr>
            <w:top w:val="none" w:sz="0" w:space="0" w:color="auto"/>
            <w:left w:val="none" w:sz="0" w:space="0" w:color="auto"/>
            <w:bottom w:val="none" w:sz="0" w:space="0" w:color="auto"/>
            <w:right w:val="none" w:sz="0" w:space="0" w:color="auto"/>
          </w:divBdr>
        </w:div>
        <w:div w:id="97531361">
          <w:marLeft w:val="0"/>
          <w:marRight w:val="0"/>
          <w:marTop w:val="0"/>
          <w:marBottom w:val="0"/>
          <w:divBdr>
            <w:top w:val="none" w:sz="0" w:space="0" w:color="auto"/>
            <w:left w:val="none" w:sz="0" w:space="0" w:color="auto"/>
            <w:bottom w:val="none" w:sz="0" w:space="0" w:color="auto"/>
            <w:right w:val="none" w:sz="0" w:space="0" w:color="auto"/>
          </w:divBdr>
        </w:div>
        <w:div w:id="386614647">
          <w:marLeft w:val="0"/>
          <w:marRight w:val="0"/>
          <w:marTop w:val="0"/>
          <w:marBottom w:val="0"/>
          <w:divBdr>
            <w:top w:val="none" w:sz="0" w:space="0" w:color="auto"/>
            <w:left w:val="none" w:sz="0" w:space="0" w:color="auto"/>
            <w:bottom w:val="none" w:sz="0" w:space="0" w:color="auto"/>
            <w:right w:val="none" w:sz="0" w:space="0" w:color="auto"/>
          </w:divBdr>
        </w:div>
        <w:div w:id="2005013109">
          <w:marLeft w:val="0"/>
          <w:marRight w:val="0"/>
          <w:marTop w:val="0"/>
          <w:marBottom w:val="0"/>
          <w:divBdr>
            <w:top w:val="none" w:sz="0" w:space="0" w:color="auto"/>
            <w:left w:val="none" w:sz="0" w:space="0" w:color="auto"/>
            <w:bottom w:val="none" w:sz="0" w:space="0" w:color="auto"/>
            <w:right w:val="none" w:sz="0" w:space="0" w:color="auto"/>
          </w:divBdr>
        </w:div>
        <w:div w:id="520164637">
          <w:marLeft w:val="0"/>
          <w:marRight w:val="0"/>
          <w:marTop w:val="0"/>
          <w:marBottom w:val="0"/>
          <w:divBdr>
            <w:top w:val="none" w:sz="0" w:space="0" w:color="auto"/>
            <w:left w:val="none" w:sz="0" w:space="0" w:color="auto"/>
            <w:bottom w:val="none" w:sz="0" w:space="0" w:color="auto"/>
            <w:right w:val="none" w:sz="0" w:space="0" w:color="auto"/>
          </w:divBdr>
        </w:div>
        <w:div w:id="1974208729">
          <w:marLeft w:val="0"/>
          <w:marRight w:val="0"/>
          <w:marTop w:val="0"/>
          <w:marBottom w:val="0"/>
          <w:divBdr>
            <w:top w:val="none" w:sz="0" w:space="0" w:color="auto"/>
            <w:left w:val="none" w:sz="0" w:space="0" w:color="auto"/>
            <w:bottom w:val="none" w:sz="0" w:space="0" w:color="auto"/>
            <w:right w:val="none" w:sz="0" w:space="0" w:color="auto"/>
          </w:divBdr>
        </w:div>
        <w:div w:id="1743091819">
          <w:marLeft w:val="0"/>
          <w:marRight w:val="0"/>
          <w:marTop w:val="0"/>
          <w:marBottom w:val="0"/>
          <w:divBdr>
            <w:top w:val="none" w:sz="0" w:space="0" w:color="auto"/>
            <w:left w:val="none" w:sz="0" w:space="0" w:color="auto"/>
            <w:bottom w:val="none" w:sz="0" w:space="0" w:color="auto"/>
            <w:right w:val="none" w:sz="0" w:space="0" w:color="auto"/>
          </w:divBdr>
        </w:div>
        <w:div w:id="1517427579">
          <w:marLeft w:val="0"/>
          <w:marRight w:val="0"/>
          <w:marTop w:val="0"/>
          <w:marBottom w:val="0"/>
          <w:divBdr>
            <w:top w:val="none" w:sz="0" w:space="0" w:color="auto"/>
            <w:left w:val="none" w:sz="0" w:space="0" w:color="auto"/>
            <w:bottom w:val="none" w:sz="0" w:space="0" w:color="auto"/>
            <w:right w:val="none" w:sz="0" w:space="0" w:color="auto"/>
          </w:divBdr>
        </w:div>
        <w:div w:id="1083644779">
          <w:marLeft w:val="0"/>
          <w:marRight w:val="0"/>
          <w:marTop w:val="0"/>
          <w:marBottom w:val="0"/>
          <w:divBdr>
            <w:top w:val="none" w:sz="0" w:space="0" w:color="auto"/>
            <w:left w:val="none" w:sz="0" w:space="0" w:color="auto"/>
            <w:bottom w:val="none" w:sz="0" w:space="0" w:color="auto"/>
            <w:right w:val="none" w:sz="0" w:space="0" w:color="auto"/>
          </w:divBdr>
        </w:div>
        <w:div w:id="1894003521">
          <w:marLeft w:val="0"/>
          <w:marRight w:val="0"/>
          <w:marTop w:val="0"/>
          <w:marBottom w:val="0"/>
          <w:divBdr>
            <w:top w:val="none" w:sz="0" w:space="0" w:color="auto"/>
            <w:left w:val="none" w:sz="0" w:space="0" w:color="auto"/>
            <w:bottom w:val="none" w:sz="0" w:space="0" w:color="auto"/>
            <w:right w:val="none" w:sz="0" w:space="0" w:color="auto"/>
          </w:divBdr>
        </w:div>
        <w:div w:id="1279409528">
          <w:marLeft w:val="0"/>
          <w:marRight w:val="0"/>
          <w:marTop w:val="0"/>
          <w:marBottom w:val="0"/>
          <w:divBdr>
            <w:top w:val="none" w:sz="0" w:space="0" w:color="auto"/>
            <w:left w:val="none" w:sz="0" w:space="0" w:color="auto"/>
            <w:bottom w:val="none" w:sz="0" w:space="0" w:color="auto"/>
            <w:right w:val="none" w:sz="0" w:space="0" w:color="auto"/>
          </w:divBdr>
        </w:div>
        <w:div w:id="783380551">
          <w:marLeft w:val="0"/>
          <w:marRight w:val="0"/>
          <w:marTop w:val="0"/>
          <w:marBottom w:val="0"/>
          <w:divBdr>
            <w:top w:val="none" w:sz="0" w:space="0" w:color="auto"/>
            <w:left w:val="none" w:sz="0" w:space="0" w:color="auto"/>
            <w:bottom w:val="none" w:sz="0" w:space="0" w:color="auto"/>
            <w:right w:val="none" w:sz="0" w:space="0" w:color="auto"/>
          </w:divBdr>
        </w:div>
        <w:div w:id="234095085">
          <w:marLeft w:val="0"/>
          <w:marRight w:val="0"/>
          <w:marTop w:val="0"/>
          <w:marBottom w:val="0"/>
          <w:divBdr>
            <w:top w:val="none" w:sz="0" w:space="0" w:color="auto"/>
            <w:left w:val="none" w:sz="0" w:space="0" w:color="auto"/>
            <w:bottom w:val="none" w:sz="0" w:space="0" w:color="auto"/>
            <w:right w:val="none" w:sz="0" w:space="0" w:color="auto"/>
          </w:divBdr>
        </w:div>
        <w:div w:id="190336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2016-09-16T16:27:00Z</dcterms:created>
  <dcterms:modified xsi:type="dcterms:W3CDTF">2016-09-16T16:28:00Z</dcterms:modified>
</cp:coreProperties>
</file>