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CB59F1" w:rsidRPr="00CB59F1" w:rsidTr="00CB59F1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9F1" w:rsidRPr="00CB59F1" w:rsidRDefault="00CB59F1" w:rsidP="00CB59F1">
            <w:pPr>
              <w:spacing w:before="120" w:after="15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bookmarkStart w:id="0" w:name="bookmark1"/>
            <w:r w:rsidRPr="00CB59F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vi-VN"/>
              </w:rPr>
              <w:t>CHÍNH PHỦ</w:t>
            </w:r>
            <w:bookmarkEnd w:id="0"/>
            <w:r w:rsidRPr="00CB59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vi-VN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9F1" w:rsidRPr="00CB59F1" w:rsidRDefault="00CB59F1" w:rsidP="00CB59F1">
            <w:pPr>
              <w:spacing w:before="120" w:after="15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B59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vi-VN"/>
              </w:rPr>
              <w:t>CỘNG HÒA XÃ HỘI CHỦ NGHĨA VIỆT NAM</w:t>
            </w:r>
            <w:r w:rsidRPr="00CB59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vi-VN"/>
              </w:rPr>
              <w:br/>
              <w:t>Độc lập - Tự do - Hạnh phúc </w:t>
            </w:r>
            <w:r w:rsidRPr="00CB59F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vi-VN"/>
              </w:rPr>
              <w:br/>
              <w:t>---------------</w:t>
            </w:r>
          </w:p>
        </w:tc>
      </w:tr>
      <w:tr w:rsidR="00CB59F1" w:rsidRPr="00CB59F1" w:rsidTr="00CB59F1"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9F1" w:rsidRPr="00CB59F1" w:rsidRDefault="00CB59F1" w:rsidP="00CB59F1">
            <w:pPr>
              <w:spacing w:before="120" w:after="15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B59F1">
              <w:rPr>
                <w:rFonts w:ascii="Arial" w:eastAsia="Times New Roman" w:hAnsi="Arial" w:cs="Arial"/>
                <w:color w:val="333333"/>
                <w:sz w:val="21"/>
                <w:szCs w:val="21"/>
                <w:lang w:val="vi-VN"/>
              </w:rPr>
              <w:t>Số: 28/2016/NĐ-CP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9F1" w:rsidRPr="00CB59F1" w:rsidRDefault="00CB59F1" w:rsidP="00CB59F1">
            <w:pPr>
              <w:spacing w:before="120" w:after="15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val="vi-VN"/>
              </w:rPr>
              <w:t>Hà Nội, ngày 20 th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á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val="vi-VN"/>
              </w:rPr>
              <w:t>ng 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0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val="vi-VN"/>
              </w:rPr>
              <w:t>4 năm 20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1</w:t>
            </w:r>
            <w:r w:rsidRPr="00CB59F1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val="vi-VN"/>
              </w:rPr>
              <w:t>6</w:t>
            </w:r>
          </w:p>
        </w:tc>
      </w:tr>
    </w:tbl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b/>
          <w:bCs/>
          <w:color w:val="333333"/>
          <w:sz w:val="24"/>
          <w:szCs w:val="24"/>
          <w:lang w:val="vi-VN"/>
        </w:rPr>
        <w:t>NGHỊ ĐỊNH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SỬA ĐỔI MỘT SỐ ĐIỀU CỦA NGHỊ ĐỊNH SỐ </w:t>
      </w:r>
      <w:hyperlink r:id="rId4" w:tgtFrame="_blank" w:history="1">
        <w:r w:rsidRPr="00CB59F1">
          <w:rPr>
            <w:rFonts w:ascii="Arial" w:eastAsia="Times New Roman" w:hAnsi="Arial" w:cs="Arial"/>
            <w:color w:val="0492DB"/>
            <w:sz w:val="21"/>
            <w:szCs w:val="21"/>
            <w:lang w:val="vi-VN"/>
          </w:rPr>
          <w:t>56/2014/NĐ-CP NGÀY 30 THÁNG 5 NĂM 2014 </w:t>
        </w:r>
      </w:hyperlink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VÀ NGHỊ ĐỊNH SỐ </w:t>
      </w:r>
      <w:hyperlink r:id="rId5" w:tgtFrame="_blank" w:history="1">
        <w:r w:rsidRPr="00CB59F1">
          <w:rPr>
            <w:rFonts w:ascii="Arial" w:eastAsia="Times New Roman" w:hAnsi="Arial" w:cs="Arial"/>
            <w:color w:val="0492DB"/>
            <w:sz w:val="21"/>
            <w:szCs w:val="21"/>
            <w:lang w:val="vi-VN"/>
          </w:rPr>
          <w:t>18/2012/NĐ-CP NGÀY 13 THÁNG 3 NĂM 2012 </w:t>
        </w:r>
      </w:hyperlink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CỦA CHÍNH PHỦ VỀ QUỸ BẢO TRÌ ĐƯỜNG BỘ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Căn cứ Luật Tổ chức Chính phủ ngày 19 th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á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ng 6 năm 2015;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Căn cứ Luật Giao thông đường bộ ngày 13 tháng 11 năm 2008;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Theo đề nghị của Bộ trưởng Bộ Giao thông vận tải,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Ch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í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nh phủ b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n hành Nghị định sửa đ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ổ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i một số Điều của Nghị định s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ố 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56/20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1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4/NĐ-CP ngày 30 tháng 5 năm 20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1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4 và Nghị định s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ố 1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8/2012/NĐ-CP ngày 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1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3 th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á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ng 3 năm 2012 của Chính phủ về Quỹ bảo trì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</w:rPr>
        <w:t>đường </w:t>
      </w:r>
      <w:r w:rsidRPr="00CB59F1">
        <w:rPr>
          <w:rFonts w:ascii="Arial" w:eastAsia="Times New Roman" w:hAnsi="Arial" w:cs="Arial"/>
          <w:i/>
          <w:iCs/>
          <w:color w:val="333333"/>
          <w:sz w:val="21"/>
          <w:szCs w:val="21"/>
          <w:lang w:val="vi-VN"/>
        </w:rPr>
        <w:t>bộ.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1" w:name="bookmark4"/>
      <w:r w:rsidRPr="00CB59F1">
        <w:rPr>
          <w:rFonts w:ascii="Arial" w:eastAsia="Times New Roman" w:hAnsi="Arial" w:cs="Arial"/>
          <w:b/>
          <w:bCs/>
          <w:color w:val="000000"/>
          <w:sz w:val="21"/>
          <w:szCs w:val="21"/>
          <w:lang w:val="vi-VN"/>
        </w:rPr>
        <w:t>Điều 1. Sửa đổi một số Điều của Nghị định số </w:t>
      </w:r>
      <w:bookmarkEnd w:id="1"/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begin"/>
      </w: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</w:rPr>
        <w:instrText xml:space="preserve"> HYPERLINK "http://thukyluat.vn/tim-kiem/?keyword=56/2014/N%C4%90-CP&amp;match=True&amp;area=2&amp;lan=1" \t "_blank" </w:instrText>
      </w: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separate"/>
      </w:r>
      <w:r w:rsidRPr="00CB59F1">
        <w:rPr>
          <w:rFonts w:ascii="Arial" w:eastAsia="Times New Roman" w:hAnsi="Arial" w:cs="Arial"/>
          <w:b/>
          <w:bCs/>
          <w:color w:val="0492DB"/>
          <w:sz w:val="21"/>
          <w:szCs w:val="21"/>
        </w:rPr>
        <w:t>56/2014/NĐ-CP </w:t>
      </w: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end"/>
      </w: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ngày 30 tháng 5 năm </w:t>
      </w: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  <w:lang w:val="vi-VN"/>
        </w:rPr>
        <w:t>2014 và Nghị định số </w:t>
      </w:r>
      <w:hyperlink r:id="rId6" w:tgtFrame="_blank" w:history="1">
        <w:r w:rsidRPr="00CB59F1">
          <w:rPr>
            <w:rFonts w:ascii="Arial" w:eastAsia="Times New Roman" w:hAnsi="Arial" w:cs="Arial"/>
            <w:b/>
            <w:bCs/>
            <w:color w:val="0492DB"/>
            <w:sz w:val="21"/>
            <w:szCs w:val="21"/>
            <w:lang w:val="vi-VN"/>
          </w:rPr>
          <w:t>18/2012/NĐ-CP ngày 13 tháng 3 năm 2012 </w:t>
        </w:r>
      </w:hyperlink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  <w:lang w:val="vi-VN"/>
        </w:rPr>
        <w:t>của Chính phủ về Quỹ bảo trì đường bộ như sau: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1. </w:t>
      </w:r>
      <w:bookmarkStart w:id="2" w:name="dc_27"/>
      <w:r w:rsidRPr="00CB59F1">
        <w:rPr>
          <w:rFonts w:ascii="Arial" w:eastAsia="Times New Roman" w:hAnsi="Arial" w:cs="Arial"/>
          <w:color w:val="000000"/>
          <w:sz w:val="21"/>
          <w:szCs w:val="21"/>
          <w:lang w:val="vi-VN"/>
        </w:rPr>
        <w:t>Khoản 1 Điều 1 của Nghị định số 56/2014/NĐ-CP</w:t>
      </w:r>
      <w:bookmarkEnd w:id="2"/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 ngày 30 tháng 5 năm 2014 của Chính phủ được sửa đ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ổ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i như sau: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1. Phí sử dụng đường bộ được thu hàng năm trên đầu phương tiện giao thông cơ gi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ớ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i đường bộ, bao gồm: xe ô tô, máy kéo; rơ moóc, sơ mi rơ moóc được kéo bởi ô tô, máy kéo và các loại xe tương tự (sau đây gọi chung là xe ôtô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).”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2. Bãi bỏ </w:t>
      </w:r>
      <w:bookmarkStart w:id="3" w:name="dc_28"/>
      <w:r w:rsidRPr="00CB59F1">
        <w:rPr>
          <w:rFonts w:ascii="Arial" w:eastAsia="Times New Roman" w:hAnsi="Arial" w:cs="Arial"/>
          <w:color w:val="000000"/>
          <w:sz w:val="21"/>
          <w:szCs w:val="21"/>
          <w:lang w:val="vi-VN"/>
        </w:rPr>
        <w:t>Khoản 2, Khoản 4 Điều 1 của Nghị định số 56/2014/NĐ-CP</w:t>
      </w:r>
      <w:bookmarkEnd w:id="3"/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 ngày 30 tháng 5 năm 2014 của Chính phủ.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3. </w:t>
      </w:r>
      <w:bookmarkStart w:id="4" w:name="dc_29"/>
      <w:r w:rsidRPr="00CB59F1">
        <w:rPr>
          <w:rFonts w:ascii="Arial" w:eastAsia="Times New Roman" w:hAnsi="Arial" w:cs="Arial"/>
          <w:color w:val="000000"/>
          <w:sz w:val="21"/>
          <w:szCs w:val="21"/>
          <w:lang w:val="vi-VN"/>
        </w:rPr>
        <w:t>Khoản 3 Điều 1 của Nghị định số 56/2014/NĐ-CP</w:t>
      </w:r>
      <w:bookmarkEnd w:id="4"/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 ngày 30 tháng 5 năm 2014 của Chính phủ được sửa đ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ổ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i như sau: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3. Hướng 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d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ẫn chế độ quản 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l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ý thu phí sử dụng đường bộ, quy định cụ thể kỳ kê khai, nộp phí sử dụng đường bộ (theo tháng, quý, năm, kỳ đăng kiểm) đối v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ớ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i xe ô tô cho phù h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ợ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p với từng đối tượng nộp phí.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4. Bãi bỏ </w:t>
      </w:r>
      <w:bookmarkStart w:id="5" w:name="dc_30"/>
      <w:r w:rsidRPr="00CB59F1">
        <w:rPr>
          <w:rFonts w:ascii="Arial" w:eastAsia="Times New Roman" w:hAnsi="Arial" w:cs="Arial"/>
          <w:color w:val="000000"/>
          <w:sz w:val="21"/>
          <w:szCs w:val="21"/>
          <w:lang w:val="vi-VN"/>
        </w:rPr>
        <w:t>Khoản 2 Điều 12 của Nghị định số 18/2012/NĐ-CP</w:t>
      </w:r>
      <w:bookmarkEnd w:id="5"/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 ngày 13 tháng 3 năm 2012 của Chính phủ.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  <w:lang w:val="vi-VN"/>
        </w:rPr>
        <w:t>Điều 2. Hiệu lực thi hành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lastRenderedPageBreak/>
        <w:t>Nghị định này có hiệu lực thi hành kể từ ngày 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05 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tháng 6 năm 2016.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b/>
          <w:bCs/>
          <w:color w:val="333333"/>
          <w:sz w:val="21"/>
          <w:szCs w:val="21"/>
          <w:lang w:val="vi-VN"/>
        </w:rPr>
        <w:t>Điều 3. Tổ chức thực hiện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Các Bộ trưởng, Thủ trưởng cơ quan ngang Bộ, Thủ trưởng cơ quan thuộc Chính phủ, Chủ tịch </w:t>
      </w:r>
      <w:r w:rsidRPr="00CB59F1">
        <w:rPr>
          <w:rFonts w:ascii="Arial" w:eastAsia="Times New Roman" w:hAnsi="Arial" w:cs="Arial"/>
          <w:color w:val="333333"/>
          <w:sz w:val="21"/>
          <w:szCs w:val="21"/>
        </w:rPr>
        <w:t>Ủ</w:t>
      </w:r>
      <w:r w:rsidRPr="00CB59F1">
        <w:rPr>
          <w:rFonts w:ascii="Arial" w:eastAsia="Times New Roman" w:hAnsi="Arial" w:cs="Arial"/>
          <w:color w:val="333333"/>
          <w:sz w:val="21"/>
          <w:szCs w:val="21"/>
          <w:lang w:val="vi-VN"/>
        </w:rPr>
        <w:t>y ban nhân dân tỉnh, thành phố trực thuộc Trung ương chịu trách nhiệm thi hành Nghị định này./.</w:t>
      </w:r>
    </w:p>
    <w:p w:rsidR="00CB59F1" w:rsidRPr="00CB59F1" w:rsidRDefault="00CB59F1" w:rsidP="00CB59F1">
      <w:pPr>
        <w:shd w:val="clear" w:color="auto" w:fill="FFFFFF"/>
        <w:spacing w:before="120"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B59F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</w:tblGrid>
      <w:tr w:rsidR="00CB59F1" w:rsidRPr="00CB59F1" w:rsidTr="00CB59F1">
        <w:tc>
          <w:tcPr>
            <w:tcW w:w="49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9F1" w:rsidRPr="00CB59F1" w:rsidRDefault="00CB59F1" w:rsidP="00CB59F1">
            <w:pPr>
              <w:spacing w:before="120" w:after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 </w:t>
            </w:r>
          </w:p>
          <w:p w:rsidR="00CB59F1" w:rsidRPr="00CB59F1" w:rsidRDefault="00CB59F1" w:rsidP="00CB59F1">
            <w:pPr>
              <w:spacing w:before="120" w:after="15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B59F1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lang w:val="vi-VN"/>
              </w:rPr>
              <w:t>Nơi nhận:</w:t>
            </w:r>
            <w:r w:rsidRPr="00CB59F1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lang w:val="vi-VN"/>
              </w:rPr>
              <w:br/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- Ban Bí thư Trung ương Đảng;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Th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ủ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tướng, các Phó Thủ tư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ớn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g Chính phủ;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Các Bộ, cơ quan ngang Bộ, cơ quan thuộc Chính phủ;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HĐND,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BND các tỉnh, thành phố trực thuộc Trung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ương;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- V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ă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n phòng Trung ương và các Ban của Đảng;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Văn phòng Tổng Bí thư;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Văn phòng Chủ tịch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nước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Hội đồng Dân tộc và các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Ủ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y ban của Quốc hội;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Văn phòng Quốc hội;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Tòa án nhân dân tối cao;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Viện Kiểm sát nhân dân tối cao;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Kiểm toán Nhà nước;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Ủ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y ban Giám sát tài chính Quốc gia;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Ngân hàng Chính sách xã hội;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Ngân hàng Phát triển Việt Nam;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Ủ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y ban Trung ương Mặt trận Tổ quốc Việt Nam;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Cơ quan Trung ương của các đoàn thể;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-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 VPCP: BTC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N,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các PCN, Trợ lý TTg, TGĐ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ổng TTĐT, các Vụ, Cục, đ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ơ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n vị tr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ự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c thuộc, Công báo;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br/>
              <w:t>- Lưu: VT, 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KT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N (3b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)</w:t>
            </w:r>
            <w:r w:rsidRPr="00CB59F1">
              <w:rPr>
                <w:rFonts w:ascii="Arial" w:eastAsia="Times New Roman" w:hAnsi="Arial" w:cs="Arial"/>
                <w:color w:val="333333"/>
                <w:sz w:val="16"/>
                <w:szCs w:val="16"/>
                <w:lang w:val="vi-VN"/>
              </w:rPr>
              <w:t>. pvc</w:t>
            </w:r>
          </w:p>
        </w:tc>
      </w:tr>
    </w:tbl>
    <w:p w:rsidR="00E456DA" w:rsidRDefault="00E456DA">
      <w:bookmarkStart w:id="6" w:name="_GoBack"/>
      <w:bookmarkEnd w:id="6"/>
    </w:p>
    <w:sectPr w:rsidR="00E4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F1"/>
    <w:rsid w:val="002D6401"/>
    <w:rsid w:val="00CB59F1"/>
    <w:rsid w:val="00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1851-F89C-40C5-AEE1-D5A1B11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9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59F1"/>
  </w:style>
  <w:style w:type="character" w:styleId="Hyperlink">
    <w:name w:val="Hyperlink"/>
    <w:basedOn w:val="DefaultParagraphFont"/>
    <w:uiPriority w:val="99"/>
    <w:semiHidden/>
    <w:unhideWhenUsed/>
    <w:rsid w:val="00CB5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ukyluat.vn/tim-kiem/?keyword=18/2012/N%C4%90-CP&amp;match=True&amp;area=2&amp;lan=1&amp;bday=13/3/2012&amp;eday=13/3/2012" TargetMode="External"/><Relationship Id="rId5" Type="http://schemas.openxmlformats.org/officeDocument/2006/relationships/hyperlink" Target="http://thukyluat.vn/tim-kiem/?keyword=18/2012/N%C4%90-CP&amp;match=True&amp;area=2&amp;lan=1&amp;bday=13/3/2012&amp;eday=13/3/2012" TargetMode="External"/><Relationship Id="rId4" Type="http://schemas.openxmlformats.org/officeDocument/2006/relationships/hyperlink" Target="http://thukyluat.vn/tim-kiem/?keyword=56/2014/N%C4%90-CP&amp;match=True&amp;area=2&amp;lan=1&amp;bday=30/5/2014&amp;eday=30/5/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</cp:revision>
  <dcterms:created xsi:type="dcterms:W3CDTF">2016-09-29T15:39:00Z</dcterms:created>
  <dcterms:modified xsi:type="dcterms:W3CDTF">2016-09-29T15:40:00Z</dcterms:modified>
</cp:coreProperties>
</file>