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0"/>
            </w:pPr>
          </w:p>
          <w:p>
            <w:pPr>
              <w:spacing w:before="5000"/>
            </w:pPr>
          </w:p>
          <w:p>
            <w:pPr>
              <w:spacing w:after="80" w:line="920" w:lineRule="atLeast"/>
            </w:pPr>
            <w:r>
              <w:rPr>
                <w:rFonts w:ascii="Calibri"/>
                <w:b/>
                <w:bCs/>
                <w:color w:val="FFFFFF"/>
                <w:sz w:val="80"/>
                <w:szCs w:val="80"/>
              </w:rPr>
              <w:t xml:space="preserve">CuentasPrecision</w:t>
            </w:r>
          </w:p>
          <w:p>
            <w:pPr>
              <w:pBdr>
                <w:bottom w:val="single" w:color="37DCF2" w:sz="8" w:space="12"/>
              </w:pBdr>
              <w:spacing w:after="300" w:before="300"/>
              <w:ind w:left="0"/>
            </w:pPr>
          </w:p>
          <w:p>
            <w:pPr>
              <w:spacing w:after="400"/>
            </w:pPr>
            <w:r>
              <w:rPr>
                <w:rFonts w:ascii="Calibri"/>
                <w:color w:val="B0B8C0"/>
                <w:sz w:val="28"/>
                <w:szCs w:val="28"/>
              </w:rPr>
              <w:t xml:space="preserve">Informe Tecnico del Proyecto y Plan de Mejoras</w:t>
            </w:r>
          </w:p>
          <w:p>
            <w:pPr>
              <w:spacing w:after="80"/>
            </w:pPr>
            <w:r>
              <w:rPr>
                <w:rFonts w:ascii="Calibri"/>
                <w:color w:val="90989F"/>
                <w:sz w:val="22"/>
                <w:szCs w:val="22"/>
              </w:rPr>
              <w:t xml:space="preserve">Aplicacion Web de Contabilidad Tributaria para Cuba</w:t>
            </w:r>
          </w:p>
          <w:p>
            <w:pPr>
              <w:spacing w:after="80"/>
            </w:pPr>
            <w:r>
              <w:rPr>
                <w:rFonts w:ascii="Calibri"/>
                <w:color w:val="90989F"/>
                <w:sz w:val="22"/>
                <w:szCs w:val="22"/>
              </w:rPr>
              <w:t xml:space="preserve">GitHub: Chambatina1/CuentasPrecision</w:t>
            </w:r>
          </w:p>
          <w:p>
            <w:pPr>
              <w:spacing w:after="80"/>
            </w:pPr>
            <w:r>
              <w:rPr>
                <w:rFonts w:ascii="Calibri"/>
                <w:color w:val="90989F"/>
                <w:sz w:val="22"/>
                <w:szCs w:val="22"/>
              </w:rPr>
              <w:t xml:space="preserve">Desplegado en Vercel</w:t>
            </w:r>
          </w:p>
          <w:p>
            <w:pPr>
              <w:spacing w:after="80"/>
            </w:pPr>
            <w:r>
              <w:rPr>
                <w:rFonts w:ascii="Calibri"/>
                <w:color w:val="90989F"/>
                <w:sz w:val="22"/>
                <w:szCs w:val="22"/>
              </w:rPr>
              <w:t xml:space="preserve">Fecha: Abril 2026</w:t>
            </w:r>
          </w:p>
        </w:tc>
      </w:tr>
    </w:tbl>
    <w:p>
      <w:pPr>
        <w:sectPr>
          <w:pgSz w:w="11906" w:h="16838" w:orient="portrait"/>
          <w:pgMar w:top="0" w:right="0" w:bottom="0" w:left="0" w:header="708" w:footer="708" w:gutter="0"/>
          <w:pgNumType/>
          <w:docGrid w:linePitch="360"/>
        </w:sectPr>
      </w:pPr>
    </w:p>
    <w:p>
      <w:pPr>
        <w:spacing w:after="300"/>
      </w:pPr>
      <w:r>
        <w:rPr>
          <w:rFonts w:ascii="Calibri" w:eastAsia="SimHei"/>
          <w:b/>
          <w:bCs/>
          <w:color w:val="0A1628"/>
          <w:sz w:val="36"/>
          <w:szCs w:val="36"/>
        </w:rPr>
        <w:t xml:space="preserve">Contenido</w:t>
      </w:r>
    </w:p>
    <w:sdt>
      <w:sdtPr>
        <w:alias w:val="Tabla de Contenido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Estado Actual del Proyecto</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Informacion de Despliegue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Estructura de Archivos Clave</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Arquitectura Tecnica</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3.1. Arquitectura General</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3.2. Capa de Datos (IndexedDB + Dexie.js)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3.3. Tablas de IndexedDB</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Sistema de Autenticacion y Control de Acceso</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4.1. Estado Actual del Sistema</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4.2. Como Funciona el Control de Acceso Actual</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5. Funcionalidades Implementadas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5.1. Panel de Control (Dashboard)</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5.2. Gestión de Movimientos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5.3. Modulo Tributario</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5.4. Convertidor CUP/USD</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5.5. Sistema de Alertas</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5.6. Exportar e Importar Datos</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6. Control de Acceso: Plan de Mejoras Futuras</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6.1. Limitaciones del Modelo Actual</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6.2. Plan de Mejoras por Fases</w:t>
            </w:r>
            <w:r>
              <w:tab/>
            </w:r>
            <w:r>
              <w:fldChar w:fldCharType="begin"/>
            </w:r>
            <w:r>
              <w:instrText xml:space="preserve"> PAGEREF _Toc100020 \h </w:instrText>
            </w:r>
            <w:r>
              <w:fldChar w:fldCharType="separate"/>
            </w:r>
            <w:r>
              <w:t>6</w:t>
            </w:r>
            <w:r>
              <w:fldChar w:fldCharType="end"/>
            </w:r>
          </w:hyperlink>
        </w:p>
        <w:p>
          <w:pPr>
            <w:pStyle w:val="12"/>
            <w:ind w:left="720"/>
            <w:tabs>
              <w:tab w:val="right" w:leader="dot" w:pos="9026"/>
            </w:tabs>
            <w:spacing w:before="120" w:after="60"/>
          </w:pPr>
          <w:hyperlink w:anchor="_Toc100021" w:history="1">
            <w:r>
              <w:rPr>
                <w:rStyle w:val="Hyperlink"/>
              </w:rPr>
              <w:t>Fase 1: Fortalecimiento Local (sin servidor)</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Fase 2: Sincronizacion entre Dispositivos</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Fase 3: Autenticacion Centralizada</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6.3. Opciones de Implementacion Recomendadas</w:t>
            </w:r>
            <w:r>
              <w:tab/>
            </w:r>
            <w:r>
              <w:fldChar w:fldCharType="begin"/>
            </w:r>
            <w:r>
              <w:instrText xml:space="preserve"> PAGEREF _Toc100024 \h </w:instrText>
            </w:r>
            <w:r>
              <w:fldChar w:fldCharType="separate"/>
            </w:r>
            <w:r>
              <w:t>7</w:t>
            </w:r>
            <w:r>
              <w:fldChar w:fldCharType="end"/>
            </w:r>
          </w:hyperlink>
        </w:p>
        <w:p>
          <w:pPr>
            <w:pStyle w:val="9"/>
            <w:tabs>
              <w:tab w:val="right" w:leader="dot" w:pos="9026"/>
            </w:tabs>
            <w:spacing w:before="120" w:after="60"/>
          </w:pPr>
          <w:hyperlink w:anchor="_Toc100025" w:history="1">
            <w:r>
              <w:rPr>
                <w:rStyle w:val="Hyperlink"/>
              </w:rPr>
              <w:t>7. Roadmap de Mejoras Futuras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7.1. Mejoras de Corto Plazo (1-2 semanas)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7.2. Mejoras de Mediano Plazo (1-2 meses)</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7.3. Mejoras de Largo Plazo (3-6 meses)</w:t>
            </w:r>
            <w:r>
              <w:tab/>
            </w:r>
            <w:r>
              <w:fldChar w:fldCharType="begin"/>
            </w:r>
            <w:r>
              <w:instrText xml:space="preserve"> PAGEREF _Toc100028 \h </w:instrText>
            </w:r>
            <w:r>
              <w:fldChar w:fldCharType="separate"/>
            </w:r>
            <w:r>
              <w:t>8</w:t>
            </w:r>
            <w:r>
              <w:fldChar w:fldCharType="end"/>
            </w:r>
          </w:hyperlink>
        </w:p>
        <w:p>
          <w:pPr>
            <w:pStyle w:val="9"/>
            <w:tabs>
              <w:tab w:val="right" w:leader="dot" w:pos="9026"/>
            </w:tabs>
            <w:spacing w:before="120" w:after="60"/>
          </w:pPr>
          <w:hyperlink w:anchor="_Toc100029" w:history="1">
            <w:r>
              <w:rPr>
                <w:rStyle w:val="Hyperlink"/>
              </w:rPr>
              <w:t>8. Credenciales y Acceso Rapido</w:t>
            </w:r>
            <w:r>
              <w:tab/>
            </w:r>
            <w:r>
              <w:fldChar w:fldCharType="begin"/>
            </w:r>
            <w:r>
              <w:instrText xml:space="preserve"> PAGEREF _Toc100029 \h </w:instrText>
            </w:r>
            <w:r>
              <w:fldChar w:fldCharType="separate"/>
            </w:r>
            <w:r>
              <w:t>8</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200" w:before="400"/>
      </w:pPr>
      <w:bookmarkStart w:id="100000" w:name="_Toc100000"/>
      <w:r>
        <w:rPr>
          <w:rFonts w:ascii="Calibri" w:eastAsia="Microsoft YaHei"/>
          <w:b/>
          <w:bCs/>
          <w:color w:val="0A1628"/>
          <w:sz w:val="32"/>
          <w:szCs w:val="32"/>
        </w:rPr>
        <w:t xml:space="preserve">1. Resumen Ejecutivo</w:t>
      </w:r>
      <w:bookmarkEnd w:id="100000"/>
    </w:p>
    <w:p>
      <w:pPr>
        <w:spacing w:after="120" w:line="312"/>
        <w:ind w:firstLine="480"/>
        <w:jc w:val="both"/>
      </w:pPr>
      <w:r>
        <w:rPr>
          <w:rFonts w:ascii="Calibri" w:eastAsia="Microsoft YaHei"/>
          <w:color w:val="1A2B40"/>
          <w:sz w:val="24"/>
          <w:szCs w:val="24"/>
        </w:rPr>
        <w:t xml:space="preserve">CuentasPrecision es una aplicacion web progresiva disenada especificamente para satisfacer las necesidades contables y tributarias de las Micro, Pequenas y Medianas Empresas (MiPYME) y los Trabajadores por Cuenta Propia (TCP) en Cuba. La aplicacion fue desarrollada utilizando Next.js 16 con TypeScript, TailwindCSS para la interfaz de usuario, shadcn/ui como sistema de componentes, Recharts para la visualizacion de datos, y Dexie.js para el almacenamiento local mediante IndexedDB.</w:t>
      </w:r>
    </w:p>
    <w:p>
      <w:pPr>
        <w:spacing w:after="120" w:line="312"/>
        <w:ind w:firstLine="480"/>
        <w:jc w:val="both"/>
      </w:pPr>
      <w:r>
        <w:rPr>
          <w:rFonts w:ascii="Calibri" w:eastAsia="Microsoft YaHei"/>
          <w:color w:val="1A2B40"/>
          <w:sz w:val="24"/>
          <w:szCs w:val="24"/>
        </w:rPr>
        <w:t xml:space="preserve">El proyecto nace con la premisa fundamental de que los datos financieros y contables de cada negocio deben residir exclusivamente en el dispositivo del usuario, eliminando la dependencia de servidores externos y bases de datos centralizadas. Este enfoque garantiza la privacidad total de la informacion, la disponibilidad offline del sistema, y el cumplimiento con las regulaciones de proteccion de datos vigentes en el contexto cubano.</w:t>
      </w:r>
    </w:p>
    <w:p>
      <w:pPr>
        <w:spacing w:after="120" w:line="312"/>
        <w:ind w:firstLine="480"/>
        <w:jc w:val="both"/>
      </w:pPr>
      <w:r>
        <w:rPr>
          <w:rFonts w:ascii="Calibri" w:eastAsia="Microsoft YaHei"/>
          <w:color w:val="1A2B40"/>
          <w:sz w:val="24"/>
          <w:szCs w:val="24"/>
        </w:rPr>
        <w:t xml:space="preserve">La aplicacion se encuentra actualmente desplegada en produccion en Vercel, accesible a traves de Internet, y funcional en dispositivos de escritorio y moviles. Incluye un sistema de autenticacion local con roles de administrador y usuario, un modulo completo de gestion de negocios, registro de ingresos y gastos, calculadora de impuestos basada en la legislacion de la Gaceta Oficial, convertidor de divisas CUP/USD, sistema de alertas tributarias, y capacidad de exportar e importar datos en formato JSON.</w:t>
      </w:r>
    </w:p>
    <w:p>
      <w:pPr>
        <w:pStyle w:val="Heading1"/>
        <w:spacing w:after="200" w:before="400"/>
      </w:pPr>
      <w:bookmarkStart w:id="100001" w:name="_Toc100001"/>
      <w:r>
        <w:rPr>
          <w:rFonts w:ascii="Calibri" w:eastAsia="Microsoft YaHei"/>
          <w:b/>
          <w:bCs/>
          <w:color w:val="0A1628"/>
          <w:sz w:val="32"/>
          <w:szCs w:val="32"/>
        </w:rPr>
        <w:t xml:space="preserve">2. Estado Actual del Proyecto</w:t>
      </w:r>
      <w:bookmarkEnd w:id="100001"/>
    </w:p>
    <w:p>
      <w:pPr>
        <w:pStyle w:val="Heading2"/>
        <w:spacing w:after="150" w:before="300"/>
      </w:pPr>
      <w:bookmarkStart w:id="100002" w:name="_Toc100002"/>
      <w:r>
        <w:rPr>
          <w:rFonts w:ascii="Calibri" w:eastAsia="Microsoft YaHei"/>
          <w:b/>
          <w:bCs/>
          <w:color w:val="0A1628"/>
          <w:sz w:val="28"/>
          <w:szCs w:val="28"/>
        </w:rPr>
        <w:t xml:space="preserve">2.1. Informacion de Despliegue</w:t>
      </w:r>
      <w:bookmarkEnd w:id="100002"/>
    </w:p>
    <w:tbl>
      <w:tblPr>
        <w:tblW w:type="pct" w:w="100%"/>
        <w:tblBorders>
          <w:top w:val="single" w:color="1B6B7A" w:sz="2"/>
          <w:left/>
          <w:bottom w:val="single" w:color="1B6B7A" w:sz="2"/>
          <w:right/>
          <w:insideH w:val="single" w:color="D0D8DE" w:sz="1"/>
          <w:insideV/>
        </w:tblBorders>
      </w:tblPr>
      <w:tblGrid>
        <w:gridCol w:w="100"/>
        <w:gridCol w:w="100"/>
      </w:tblGrid>
      <w:tr>
        <w:trPr>
          <w:cantSplit/>
          <w:tblHeader/>
        </w:trPr>
        <w:tc>
          <w:tcPr>
            <w:tcW w:type="pct" w:w="3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Parametro</w:t>
            </w:r>
          </w:p>
        </w:tc>
        <w:tc>
          <w:tcPr>
            <w:tcW w:type="pct" w:w="6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Valor</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URL Produccion</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https://my-project-steel-six.vercel.app</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Plataforma</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Vercel (Serverless)</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Framework</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Next.js 16.1.3 con App Router</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Lenguaje</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TypeScript</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Base de Datos</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IndexedDB via Dexie.js (local en dispositivo)</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Repositorio</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github.com/Chambatina1/CuentasPrecision</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UI Framework</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TailwindCSS 4 + shadcn/ui</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Graficos</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Recharts (barras, circulares)</w:t>
            </w:r>
          </w:p>
        </w:tc>
      </w:tr>
    </w:tbl>
    <w:p>
      <w:pPr>
        <w:spacing w:after="200"/>
      </w:pPr>
    </w:p>
    <w:p>
      <w:pPr>
        <w:pStyle w:val="Heading2"/>
        <w:spacing w:after="150" w:before="300"/>
      </w:pPr>
      <w:bookmarkStart w:id="100003" w:name="_Toc100003"/>
      <w:r>
        <w:rPr>
          <w:rFonts w:ascii="Calibri" w:eastAsia="Microsoft YaHei"/>
          <w:b/>
          <w:bCs/>
          <w:color w:val="0A1628"/>
          <w:sz w:val="28"/>
          <w:szCs w:val="28"/>
        </w:rPr>
        <w:t xml:space="preserve">2.2. Estructura de Archivos Clave</w:t>
      </w:r>
      <w:bookmarkEnd w:id="100003"/>
    </w:p>
    <w:tbl>
      <w:tblPr>
        <w:tblW w:type="pct" w:w="100%"/>
        <w:tblBorders>
          <w:top w:val="single" w:color="1B6B7A" w:sz="2"/>
          <w:left/>
          <w:bottom w:val="single" w:color="1B6B7A" w:sz="2"/>
          <w:right/>
          <w:insideH w:val="single" w:color="D0D8DE" w:sz="1"/>
          <w:insideV/>
        </w:tblBorders>
      </w:tblPr>
      <w:tblGrid>
        <w:gridCol w:w="100"/>
        <w:gridCol w:w="100"/>
      </w:tblGrid>
      <w:tr>
        <w:trPr>
          <w:cantSplit/>
          <w:tblHeader/>
        </w:trPr>
        <w:tc>
          <w:tcPr>
            <w:tcW w:type="pct" w:w="4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Archivo</w:t>
            </w:r>
          </w:p>
        </w:tc>
        <w:tc>
          <w:tcPr>
            <w:tcW w:type="pct" w:w="5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Descripcion</w:t>
            </w:r>
          </w:p>
        </w:tc>
      </w:tr>
      <w:tr>
        <w:trPr>
          <w:cantSplit/>
        </w:trPr>
        <w:tc>
          <w:tcPr>
            <w:tcW w:type="pct" w:w="4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src/app/page.tsx</w:t>
            </w:r>
          </w:p>
        </w:tc>
        <w:tc>
          <w:tcPr>
            <w:tcW w:type="pct" w:w="5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Punto de entrada: dynamic import con ssr:false + ErrorBoundary</w:t>
            </w:r>
          </w:p>
        </w:tc>
      </w:tr>
      <w:tr>
        <w:trPr>
          <w:cantSplit/>
        </w:trPr>
        <w:tc>
          <w:tcPr>
            <w:tcW w:type="pct" w:w="4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src/app/App.tsx</w:t>
            </w:r>
          </w:p>
        </w:tc>
        <w:tc>
          <w:tcPr>
            <w:tcW w:type="pct" w:w="5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Aplicacion principal (~854 lineas): login, dashboard, CRUD, graficos</w:t>
            </w:r>
          </w:p>
        </w:tc>
      </w:tr>
      <w:tr>
        <w:trPr>
          <w:cantSplit/>
        </w:trPr>
        <w:tc>
          <w:tcPr>
            <w:tcW w:type="pct" w:w="4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src/app/ErrorBoundary.tsx</w:t>
            </w:r>
          </w:p>
        </w:tc>
        <w:tc>
          <w:tcPr>
            <w:tcW w:type="pct" w:w="5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Componente React de captura de errores en tiempo de ejecucion</w:t>
            </w:r>
          </w:p>
        </w:tc>
      </w:tr>
      <w:tr>
        <w:trPr>
          <w:cantSplit/>
        </w:trPr>
        <w:tc>
          <w:tcPr>
            <w:tcW w:type="pct" w:w="4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src/lib/db-client.ts</w:t>
            </w:r>
          </w:p>
        </w:tc>
        <w:tc>
          <w:tcPr>
            <w:tcW w:type="pct" w:w="5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Wrapper Dexie.js: tipos, esquema IndexedDB, seed data, export/import</w:t>
            </w:r>
          </w:p>
        </w:tc>
      </w:tr>
      <w:tr>
        <w:trPr>
          <w:cantSplit/>
        </w:trPr>
        <w:tc>
          <w:tcPr>
            <w:tcW w:type="pct" w:w="4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src/components/ui/*</w:t>
            </w:r>
          </w:p>
        </w:tc>
        <w:tc>
          <w:tcPr>
            <w:tcW w:type="pct" w:w="5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Componentes shadcn/ui (48 componentes)</w:t>
            </w:r>
          </w:p>
        </w:tc>
      </w:tr>
    </w:tbl>
    <w:p>
      <w:pPr>
        <w:spacing w:after="200"/>
      </w:pPr>
    </w:p>
    <w:p>
      <w:pPr>
        <w:pStyle w:val="Heading1"/>
        <w:spacing w:after="200" w:before="400"/>
      </w:pPr>
      <w:bookmarkStart w:id="100004" w:name="_Toc100004"/>
      <w:r>
        <w:rPr>
          <w:rFonts w:ascii="Calibri" w:eastAsia="Microsoft YaHei"/>
          <w:b/>
          <w:bCs/>
          <w:color w:val="0A1628"/>
          <w:sz w:val="32"/>
          <w:szCs w:val="32"/>
        </w:rPr>
        <w:t xml:space="preserve">3. Arquitectura Tecnica</w:t>
      </w:r>
      <w:bookmarkEnd w:id="100004"/>
    </w:p>
    <w:p>
      <w:pPr>
        <w:pStyle w:val="Heading2"/>
        <w:spacing w:after="150" w:before="300"/>
      </w:pPr>
      <w:bookmarkStart w:id="100005" w:name="_Toc100005"/>
      <w:r>
        <w:rPr>
          <w:rFonts w:ascii="Calibri" w:eastAsia="Microsoft YaHei"/>
          <w:b/>
          <w:bCs/>
          <w:color w:val="0A1628"/>
          <w:sz w:val="28"/>
          <w:szCs w:val="28"/>
        </w:rPr>
        <w:t xml:space="preserve">3.1. Arquitectura General</w:t>
      </w:r>
      <w:bookmarkEnd w:id="100005"/>
    </w:p>
    <w:p>
      <w:pPr>
        <w:spacing w:after="120" w:line="312"/>
        <w:ind w:firstLine="480"/>
        <w:jc w:val="both"/>
      </w:pPr>
      <w:r>
        <w:rPr>
          <w:rFonts w:ascii="Calibri" w:eastAsia="Microsoft YaHei"/>
          <w:color w:val="1A2B40"/>
          <w:sz w:val="24"/>
          <w:szCs w:val="24"/>
        </w:rPr>
        <w:t xml:space="preserve">La aplicacion sigue una arquitectura de tipo Single Page Application (SPA) ejecutada integramente en el navegador del usuario. Next.js se utiliza unicamente como plataforma de compilacion, optimizacion y despliegue, mientras que toda la logica de negocio, el almacenamiento de datos y la renderizacion de la interfaz se ejecutan en el lado del cliente. Este patron arquitectonico garantiza que la aplicacion funciona completamente offline una vez cargada, ya que no depende de llamadas a servidores backend para ninguna operacion critica.</w:t>
      </w:r>
    </w:p>
    <w:p>
      <w:pPr>
        <w:spacing w:after="120" w:line="312"/>
        <w:ind w:firstLine="480"/>
        <w:jc w:val="both"/>
      </w:pPr>
      <w:r>
        <w:rPr>
          <w:rFonts w:ascii="Calibri" w:eastAsia="Microsoft YaHei"/>
          <w:color w:val="1A2B40"/>
          <w:sz w:val="24"/>
          <w:szCs w:val="24"/>
        </w:rPr>
        <w:t xml:space="preserve">El flujo de renderizado esta disenado con multiples capas de proteccion contra errores de hidratacion del lado del servidor. En primer lugar, el archivo page.tsx utiliza next/dynamic con la opcion ssr: false para evitar que Next.js intente renderizar la aplicacion en el servidor. En segundo lugar, un componente ErrorBoundary de React envuelve toda la aplicacion para capturar y mostrar errores de tiempo de ejecucion de forma informativa. Finalmente, dentro del componente App.tsx, un guardia de montaje (mounted state + useEffect) asegura que ninguna operacion dependiente del navegador se ejecute antes de que el componente este completamente hidratado.</w:t>
      </w:r>
    </w:p>
    <w:p>
      <w:pPr>
        <w:pStyle w:val="Heading2"/>
        <w:spacing w:after="150" w:before="300"/>
      </w:pPr>
      <w:bookmarkStart w:id="100006" w:name="_Toc100006"/>
      <w:r>
        <w:rPr>
          <w:rFonts w:ascii="Calibri" w:eastAsia="Microsoft YaHei"/>
          <w:b/>
          <w:bCs/>
          <w:color w:val="0A1628"/>
          <w:sz w:val="28"/>
          <w:szCs w:val="28"/>
        </w:rPr>
        <w:t xml:space="preserve">3.2. Capa de Datos (IndexedDB + Dexie.js)</w:t>
      </w:r>
      <w:bookmarkEnd w:id="100006"/>
    </w:p>
    <w:p>
      <w:pPr>
        <w:spacing w:after="120" w:line="312"/>
        <w:ind w:firstLine="480"/>
        <w:jc w:val="both"/>
      </w:pPr>
      <w:r>
        <w:rPr>
          <w:rFonts w:ascii="Calibri" w:eastAsia="Microsoft YaHei"/>
          <w:color w:val="1A2B40"/>
          <w:sz w:val="24"/>
          <w:szCs w:val="24"/>
        </w:rPr>
        <w:t xml:space="preserve">La capa de datos utiliza IndexedDB a traves de la biblioteca Dexie.js, proporcionando un almacenamiento persistente, transaccional y de alta capacidad directamente en el navegador del usuario. La base de datos se denomina CuentasPrecisionDB y contiene seis tablas principales: businesses (negocios registrados), transactions (movimientos de ingresos y gastos), taxRates (tasas impositivas vigentes segun la Gaceta Oficial), exchangeRates (tasas de cambio historicas), alerts (alertas tributarias y sugerencias), y users (usuarios del sistema con roles).</w:t>
      </w:r>
    </w:p>
    <w:p>
      <w:pPr>
        <w:spacing w:after="120" w:line="312"/>
        <w:ind w:firstLine="480"/>
        <w:jc w:val="both"/>
      </w:pPr>
      <w:r>
        <w:rPr>
          <w:rFonts w:ascii="Calibri" w:eastAsia="Microsoft YaHei"/>
          <w:color w:val="1A2B40"/>
          <w:sz w:val="24"/>
          <w:szCs w:val="24"/>
        </w:rPr>
        <w:t xml:space="preserve">El modulo db-client.ts implementa un patron de importacion diferida (lazy loading) de Dexie, lo que significa que la biblioteca no se importa hasta que se solicita por primera vez la base de datos. Ademas, incluye una verificacion de entorno que lanza un error si se intenta acceder a IndexedDB desde el servidor (typeof window === undefined). Los datos iniciales (tasas impositivas cubanas, tasas de cambio de referencia, alertas tributarias, y un usuario administrador por defecto) se insertan automaticamente la primera vez que se accede a la base de datos a traves de la funcion seedDatabase().</w:t>
      </w:r>
    </w:p>
    <w:p>
      <w:pPr>
        <w:pStyle w:val="Heading2"/>
        <w:spacing w:after="150" w:before="300"/>
      </w:pPr>
      <w:bookmarkStart w:id="100007" w:name="_Toc100007"/>
      <w:r>
        <w:rPr>
          <w:rFonts w:ascii="Calibri" w:eastAsia="Microsoft YaHei"/>
          <w:b/>
          <w:bCs/>
          <w:color w:val="0A1628"/>
          <w:sz w:val="28"/>
          <w:szCs w:val="28"/>
        </w:rPr>
        <w:t xml:space="preserve">3.3. Tablas de IndexedDB</w:t>
      </w:r>
      <w:bookmarkEnd w:id="100007"/>
    </w:p>
    <w:tbl>
      <w:tblPr>
        <w:tblW w:type="pct" w:w="100%"/>
        <w:tblBorders>
          <w:top w:val="single" w:color="1B6B7A" w:sz="2"/>
          <w:left/>
          <w:bottom w:val="single" w:color="1B6B7A" w:sz="2"/>
          <w:right/>
          <w:insideH w:val="single" w:color="D0D8DE" w:sz="1"/>
          <w:insideV/>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Tabla</w:t>
            </w:r>
          </w:p>
        </w:tc>
        <w:tc>
          <w:tcPr>
            <w:tcW w:type="pct" w:w="2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Indice Principal</w:t>
            </w:r>
          </w:p>
        </w:tc>
        <w:tc>
          <w:tcPr>
            <w:tcW w:type="pct" w:w="3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Indices Secundarios</w:t>
            </w:r>
          </w:p>
        </w:tc>
        <w:tc>
          <w:tcPr>
            <w:tcW w:type="pct" w:w="18%"/>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Proposito</w:t>
            </w:r>
          </w:p>
        </w:tc>
      </w:tr>
      <w:tr>
        <w:trPr>
          <w:cantSplit/>
        </w:trPr>
        <w:tc>
          <w:tcPr>
            <w:tcW w:type="pct" w:w="22%"/>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businesses</w:t>
            </w:r>
          </w:p>
        </w:tc>
        <w:tc>
          <w:tcPr>
            <w:tcW w:type="pct" w:w="2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++id (auto)</w:t>
            </w:r>
          </w:p>
        </w:tc>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name, businessType, activityType, createdAt</w:t>
            </w:r>
          </w:p>
        </w:tc>
        <w:tc>
          <w:tcPr>
            <w:tcW w:type="pct" w:w="18%"/>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Datos del negocio</w:t>
            </w:r>
          </w:p>
        </w:tc>
      </w:tr>
      <w:tr>
        <w:trPr>
          <w:cantSplit/>
        </w:trPr>
        <w:tc>
          <w:tcPr>
            <w:tcW w:type="pct" w:w="22%"/>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transactions</w:t>
            </w:r>
          </w:p>
        </w:tc>
        <w:tc>
          <w:tcPr>
            <w:tcW w:type="pct" w:w="2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++id (auto)</w:t>
            </w:r>
          </w:p>
        </w:tc>
        <w:tc>
          <w:tcPr>
            <w:tcW w:type="pct" w:w="3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businessId, type, category, date, createdAt</w:t>
            </w:r>
          </w:p>
        </w:tc>
        <w:tc>
          <w:tcPr>
            <w:tcW w:type="pct" w:w="18%"/>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Ingresos y gastos</w:t>
            </w:r>
          </w:p>
        </w:tc>
      </w:tr>
      <w:tr>
        <w:trPr>
          <w:cantSplit/>
        </w:trPr>
        <w:tc>
          <w:tcPr>
            <w:tcW w:type="pct" w:w="22%"/>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taxRates</w:t>
            </w:r>
          </w:p>
        </w:tc>
        <w:tc>
          <w:tcPr>
            <w:tcW w:type="pct" w:w="2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++id (auto)</w:t>
            </w:r>
          </w:p>
        </w:tc>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code, category</w:t>
            </w:r>
          </w:p>
        </w:tc>
        <w:tc>
          <w:tcPr>
            <w:tcW w:type="pct" w:w="18%"/>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Tasas impositivas</w:t>
            </w:r>
          </w:p>
        </w:tc>
      </w:tr>
      <w:tr>
        <w:trPr>
          <w:cantSplit/>
        </w:trPr>
        <w:tc>
          <w:tcPr>
            <w:tcW w:type="pct" w:w="22%"/>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exchangeRates</w:t>
            </w:r>
          </w:p>
        </w:tc>
        <w:tc>
          <w:tcPr>
            <w:tcW w:type="pct" w:w="2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++id (auto)</w:t>
            </w:r>
          </w:p>
        </w:tc>
        <w:tc>
          <w:tcPr>
            <w:tcW w:type="pct" w:w="3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source, date, createdAt</w:t>
            </w:r>
          </w:p>
        </w:tc>
        <w:tc>
          <w:tcPr>
            <w:tcW w:type="pct" w:w="18%"/>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Tasas de cambio</w:t>
            </w:r>
          </w:p>
        </w:tc>
      </w:tr>
      <w:tr>
        <w:trPr>
          <w:cantSplit/>
        </w:trPr>
        <w:tc>
          <w:tcPr>
            <w:tcW w:type="pct" w:w="22%"/>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alerts</w:t>
            </w:r>
          </w:p>
        </w:tc>
        <w:tc>
          <w:tcPr>
            <w:tcW w:type="pct" w:w="2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++id (auto)</w:t>
            </w:r>
          </w:p>
        </w:tc>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type, severity, isRead, createdAt</w:t>
            </w:r>
          </w:p>
        </w:tc>
        <w:tc>
          <w:tcPr>
            <w:tcW w:type="pct" w:w="18%"/>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Alertas tributarias</w:t>
            </w:r>
          </w:p>
        </w:tc>
      </w:tr>
      <w:tr>
        <w:trPr>
          <w:cantSplit/>
        </w:trPr>
        <w:tc>
          <w:tcPr>
            <w:tcW w:type="pct" w:w="22%"/>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users</w:t>
            </w:r>
          </w:p>
        </w:tc>
        <w:tc>
          <w:tcPr>
            <w:tcW w:type="pct" w:w="2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++id (auto)</w:t>
            </w:r>
          </w:p>
        </w:tc>
        <w:tc>
          <w:tcPr>
            <w:tcW w:type="pct" w:w="3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username, role, isActive</w:t>
            </w:r>
          </w:p>
        </w:tc>
        <w:tc>
          <w:tcPr>
            <w:tcW w:type="pct" w:w="18%"/>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Usuarios y roles</w:t>
            </w:r>
          </w:p>
        </w:tc>
      </w:tr>
    </w:tbl>
    <w:p>
      <w:pPr>
        <w:spacing w:after="200"/>
      </w:pPr>
    </w:p>
    <w:p>
      <w:pPr>
        <w:pStyle w:val="Heading1"/>
        <w:spacing w:after="200" w:before="400"/>
      </w:pPr>
      <w:bookmarkStart w:id="100008" w:name="_Toc100008"/>
      <w:r>
        <w:rPr>
          <w:rFonts w:ascii="Calibri" w:eastAsia="Microsoft YaHei"/>
          <w:b/>
          <w:bCs/>
          <w:color w:val="0A1628"/>
          <w:sz w:val="32"/>
          <w:szCs w:val="32"/>
        </w:rPr>
        <w:t xml:space="preserve">4. Sistema de Autenticacion y Control de Acceso</w:t>
      </w:r>
      <w:bookmarkEnd w:id="100008"/>
    </w:p>
    <w:p>
      <w:pPr>
        <w:pStyle w:val="Heading2"/>
        <w:spacing w:after="150" w:before="300"/>
      </w:pPr>
      <w:bookmarkStart w:id="100009" w:name="_Toc100009"/>
      <w:r>
        <w:rPr>
          <w:rFonts w:ascii="Calibri" w:eastAsia="Microsoft YaHei"/>
          <w:b/>
          <w:bCs/>
          <w:color w:val="0A1628"/>
          <w:sz w:val="28"/>
          <w:szCs w:val="28"/>
        </w:rPr>
        <w:t xml:space="preserve">4.1. Estado Actual del Sistema</w:t>
      </w:r>
      <w:bookmarkEnd w:id="100009"/>
    </w:p>
    <w:p>
      <w:pPr>
        <w:spacing w:after="120" w:line="312"/>
        <w:ind w:firstLine="480"/>
        <w:jc w:val="both"/>
      </w:pPr>
      <w:r>
        <w:rPr>
          <w:rFonts w:ascii="Calibri" w:eastAsia="Microsoft YaHei"/>
          <w:color w:val="1A2B40"/>
          <w:sz w:val="24"/>
          <w:szCs w:val="24"/>
        </w:rPr>
        <w:t xml:space="preserve">El sistema de autenticacion actual funciona de manera completamente local en cada dispositivo del usuario. Cuando un usuario accede a la aplicacion por primera vez, el sistema crea automaticamente una cuenta de administrador con las credenciales predeterminadas: usuario admin y contrasena admin123. Esta cuenta puede (y debe) ser modificada desde el modulo de Configuracion. La persistencia de sesion se maneja mediante sessionStorage, lo que significa que la sesion se cierra automaticamente cuando el usuario cierra la pestana o el navegador.</w:t>
      </w:r>
    </w:p>
    <w:p>
      <w:pPr>
        <w:spacing w:after="120" w:line="312"/>
        <w:ind w:firstLine="480"/>
        <w:jc w:val="both"/>
      </w:pPr>
      <w:r>
        <w:rPr>
          <w:rFonts w:ascii="Calibri" w:eastAsia="Microsoft YaHei"/>
          <w:color w:val="1A2B40"/>
          <w:sz w:val="24"/>
          <w:szCs w:val="24"/>
        </w:rPr>
        <w:t xml:space="preserve">El sistema soporta dos roles de usuario: administrador y usuario. El administrador tiene acceso completo a todas las funcionalidades incluyendo la creacion, edicion y eliminacion de usuarios, mientras que el rol de usuario tiene acceso restringido a las funciones operativas de contabilidad. Adicionalmente, cada usuario puede ser activado o desactivado individualmente, impidiendo el acceso de cuentas sin eliminar su historico de datos.</w:t>
      </w:r>
    </w:p>
    <w:p>
      <w:pPr>
        <w:spacing w:after="120" w:line="312"/>
        <w:ind w:firstLine="480"/>
        <w:jc w:val="both"/>
      </w:pPr>
      <w:r>
        <w:rPr>
          <w:rFonts w:ascii="Calibri" w:eastAsia="Microsoft YaHei"/>
          <w:color w:val="1A2B40"/>
          <w:sz w:val="24"/>
          <w:szCs w:val="24"/>
        </w:rPr>
        <w:t xml:space="preserve">Es importante entender una limitacion fundamental del modelo actual: dado que la base de datos es local (IndexedDB en el navegador de cada dispositivo), cada dispositivo mantiene su propio conjunto independiente de usuarios, transacciones y configuraciones. Esto significa que si el administrador crea un usuario nuevo en su computadora, ese usuario no existira automaticamente en otros dispositivos. Esta es una consideracion critica que debe tenerse en cuenta al planificar el control de acceso futuro.</w:t>
      </w:r>
    </w:p>
    <w:p>
      <w:pPr>
        <w:pStyle w:val="Heading2"/>
        <w:spacing w:after="150" w:before="300"/>
      </w:pPr>
      <w:bookmarkStart w:id="100010" w:name="_Toc100010"/>
      <w:r>
        <w:rPr>
          <w:rFonts w:ascii="Calibri" w:eastAsia="Microsoft YaHei"/>
          <w:b/>
          <w:bCs/>
          <w:color w:val="0A1628"/>
          <w:sz w:val="28"/>
          <w:szCs w:val="28"/>
        </w:rPr>
        <w:t xml:space="preserve">4.2. Como Funciona el Control de Acceso Actual</w:t>
      </w:r>
      <w:bookmarkEnd w:id="100010"/>
    </w:p>
    <w:p>
      <w:pPr>
        <w:spacing w:after="120" w:line="312"/>
        <w:ind w:firstLine="480"/>
        <w:jc w:val="both"/>
      </w:pPr>
      <w:r>
        <w:rPr>
          <w:rFonts w:ascii="Calibri" w:eastAsia="Microsoft YaHei"/>
          <w:color w:val="1A2B40"/>
          <w:sz w:val="24"/>
          <w:szCs w:val="24"/>
        </w:rPr>
        <w:t xml:space="preserve">El flujo de autenticacion sigue estos pasos: primero, el usuario ingresa su nombre de usuario y contrasena en la pantalla de login; segundo, el sistema busca el usuario en la tabla users de IndexedDB local; tercero, verifica que la cuenta exista, este activa, y que el hash SHA-256 de la contrasena ingresada coincida con el almacenado; cuarto, si la validacion es exitosa, se almacena el objeto de usuario en sessionStorage y se concede acceso a la interfaz principal.</w:t>
      </w:r>
    </w:p>
    <w:p>
      <w:pPr>
        <w:spacing w:after="120" w:line="312"/>
        <w:ind w:firstLine="480"/>
        <w:jc w:val="both"/>
      </w:pPr>
      <w:r>
        <w:rPr>
          <w:rFonts w:ascii="Calibri" w:eastAsia="Microsoft YaHei"/>
          <w:color w:val="1A2B40"/>
          <w:sz w:val="24"/>
          <w:szCs w:val="24"/>
        </w:rPr>
        <w:t xml:space="preserve">La funcion de hash utiliza la API Web Crypto (crypto.subtle.digest) con el algoritmo SHA-256, concatenando un salt fijo al contrasena antes de hashear. Aunque este enfoque proporciona un nivel basico de seguridad, es importante senalar que un salt fijo y almacenado en el codigo fuente del cliente no constituye una practica de seguridad robusta para entornos de produccion. En el plan de mejoras futuras se detalla como fortalecer este aspecto.</w:t>
      </w:r>
    </w:p>
    <w:p>
      <w:pPr>
        <w:pStyle w:val="Heading1"/>
        <w:spacing w:after="200" w:before="400"/>
      </w:pPr>
      <w:bookmarkStart w:id="100011" w:name="_Toc100011"/>
      <w:r>
        <w:rPr>
          <w:rFonts w:ascii="Calibri" w:eastAsia="Microsoft YaHei"/>
          <w:b/>
          <w:bCs/>
          <w:color w:val="0A1628"/>
          <w:sz w:val="32"/>
          <w:szCs w:val="32"/>
        </w:rPr>
        <w:t xml:space="preserve">5. Funcionalidades Implementadas</w:t>
      </w:r>
      <w:bookmarkEnd w:id="100011"/>
    </w:p>
    <w:p>
      <w:pPr>
        <w:pStyle w:val="Heading2"/>
        <w:spacing w:after="150" w:before="300"/>
      </w:pPr>
      <w:bookmarkStart w:id="100012" w:name="_Toc100012"/>
      <w:r>
        <w:rPr>
          <w:rFonts w:ascii="Calibri" w:eastAsia="Microsoft YaHei"/>
          <w:b/>
          <w:bCs/>
          <w:color w:val="0A1628"/>
          <w:sz w:val="28"/>
          <w:szCs w:val="28"/>
        </w:rPr>
        <w:t xml:space="preserve">5.1. Panel de Control (Dashboard)</w:t>
      </w:r>
      <w:bookmarkEnd w:id="100012"/>
    </w:p>
    <w:p>
      <w:pPr>
        <w:spacing w:after="120" w:line="312"/>
        <w:ind w:firstLine="480"/>
        <w:jc w:val="both"/>
      </w:pPr>
      <w:r>
        <w:rPr>
          <w:rFonts w:ascii="Calibri" w:eastAsia="Microsoft YaHei"/>
          <w:color w:val="1A2B40"/>
          <w:sz w:val="24"/>
          <w:szCs w:val="24"/>
        </w:rPr>
        <w:t xml:space="preserve">El panel de control proporciona una vision general del estado financiero del negocio seleccionado. Muestra cuatro tarjetas resumen con los ingresos mensuales, gastos mensuales, balance neto, y gastos deducibles para fines fiscales. Incluye un widget de tasa de cambio USD/CUP con un convertidor interactivo en tiempo real, dos graficos (tendencia de ingresos/gastos de los ultimos 6 meses mediante grafico de barras, y distribucion de gastos por categoria mediante grafico circular), y paneles de alertas recientes y movimientos recientes.</w:t>
      </w:r>
    </w:p>
    <w:p>
      <w:pPr>
        <w:pStyle w:val="Heading2"/>
        <w:spacing w:after="150" w:before="300"/>
      </w:pPr>
      <w:bookmarkStart w:id="100013" w:name="_Toc100013"/>
      <w:r>
        <w:rPr>
          <w:rFonts w:ascii="Calibri" w:eastAsia="Microsoft YaHei"/>
          <w:b/>
          <w:bCs/>
          <w:color w:val="0A1628"/>
          <w:sz w:val="28"/>
          <w:szCs w:val="28"/>
        </w:rPr>
        <w:t xml:space="preserve">5.2. Gestión de Movimientos</w:t>
      </w:r>
      <w:bookmarkEnd w:id="100013"/>
    </w:p>
    <w:p>
      <w:pPr>
        <w:spacing w:after="120" w:line="312"/>
        <w:ind w:firstLine="480"/>
        <w:jc w:val="both"/>
      </w:pPr>
      <w:r>
        <w:rPr>
          <w:rFonts w:ascii="Calibri" w:eastAsia="Microsoft YaHei"/>
          <w:color w:val="1A2B40"/>
          <w:sz w:val="24"/>
          <w:szCs w:val="24"/>
        </w:rPr>
        <w:t xml:space="preserve">El modulo de movimientos permite registrar, editar y eliminar transacciones de ingresos y gastos. Cada transaccion incluye campos para el tipo (ingreso o gasto), categoria, subcategoria opcional, descripcion, monto en CUP, conversion automatica a USD segun la tasa vigente, fecha, indicador de deducibilidad fiscal, numero de referencia, y notas. Las categorias de ingresos incluyen ventas de productos, prestacion de servicios, alquileres, comisiones, intereses y otros ingresos. Las categorias de gastos abarcan materia prima, alquiler, servicios publicos, salarios, transporte, mantenimiento, impuestos, marketing, seguros, depreciacion, gastos financieros y otros.</w:t>
      </w:r>
    </w:p>
    <w:p>
      <w:pPr>
        <w:pStyle w:val="Heading2"/>
        <w:spacing w:after="150" w:before="300"/>
      </w:pPr>
      <w:bookmarkStart w:id="100014" w:name="_Toc100014"/>
      <w:r>
        <w:rPr>
          <w:rFonts w:ascii="Calibri" w:eastAsia="Microsoft YaHei"/>
          <w:b/>
          <w:bCs/>
          <w:color w:val="0A1628"/>
          <w:sz w:val="28"/>
          <w:szCs w:val="28"/>
        </w:rPr>
        <w:t xml:space="preserve">5.3. Modulo Tributario</w:t>
      </w:r>
      <w:bookmarkEnd w:id="100014"/>
    </w:p>
    <w:p>
      <w:pPr>
        <w:spacing w:after="120" w:line="312"/>
        <w:ind w:firstLine="480"/>
        <w:jc w:val="both"/>
      </w:pPr>
      <w:r>
        <w:rPr>
          <w:rFonts w:ascii="Calibri" w:eastAsia="Microsoft YaHei"/>
          <w:color w:val="1A2B40"/>
          <w:sz w:val="24"/>
          <w:szCs w:val="24"/>
        </w:rPr>
        <w:t xml:space="preserve">El modulo de impuestos incluye una tabla completa de tasas impositivas vigentes basadas en la legislacion cubana, con referencias especificas a la Gaceta Oficial. Las tasas preconfiguradas cubren el Impuesto sobre Ingresos Personales para TCP (15% hasta 50,000 CUP anuales, 20% para el tramo superior), la Contribucion a la Seguridad Social para TCP (25%), el Impuesto sobre Ingresos para MiPYME (30%), la Contribucion a la Seguridad Social para MiPYME (16.5%), el ITSS (11%), y diversas tasas y contribuciones adicionales. Cada tasa incluye descripcion, rango de aplicacion, fecha de vigencia y referencia a la norma legal correspondiente.</w:t>
      </w:r>
    </w:p>
    <w:p>
      <w:pPr>
        <w:pStyle w:val="Heading2"/>
        <w:spacing w:after="150" w:before="300"/>
      </w:pPr>
      <w:bookmarkStart w:id="100015" w:name="_Toc100015"/>
      <w:r>
        <w:rPr>
          <w:rFonts w:ascii="Calibri" w:eastAsia="Microsoft YaHei"/>
          <w:b/>
          <w:bCs/>
          <w:color w:val="0A1628"/>
          <w:sz w:val="28"/>
          <w:szCs w:val="28"/>
        </w:rPr>
        <w:t xml:space="preserve">5.4. Convertidor CUP/USD</w:t>
      </w:r>
      <w:bookmarkEnd w:id="100015"/>
    </w:p>
    <w:p>
      <w:pPr>
        <w:spacing w:after="120" w:line="312"/>
        <w:ind w:firstLine="480"/>
        <w:jc w:val="both"/>
      </w:pPr>
      <w:r>
        <w:rPr>
          <w:rFonts w:ascii="Calibri" w:eastAsia="Microsoft YaHei"/>
          <w:color w:val="1A2B40"/>
          <w:sz w:val="24"/>
          <w:szCs w:val="24"/>
        </w:rPr>
        <w:t xml:space="preserve">La aplicacion incluye un convertidor de divisas integrado en el panel de control que permite convertir rapidamente entre pesos cubanos (CUP) y dolares estadounidenses (USD). La tasa de cambio se almacena en la base de datos local y puede ser actualizada manualmente por el administrador. El sistema incluye tasas de cambio historicas con fuentes como El Toque y Atales, y soporta tasas para USD, EUR y MLC. El convertidor se actualiza automaticamente en tiempo real a medida que el usuario escribe.</w:t>
      </w:r>
    </w:p>
    <w:p>
      <w:pPr>
        <w:pStyle w:val="Heading2"/>
        <w:spacing w:after="150" w:before="300"/>
      </w:pPr>
      <w:bookmarkStart w:id="100016" w:name="_Toc100016"/>
      <w:r>
        <w:rPr>
          <w:rFonts w:ascii="Calibri" w:eastAsia="Microsoft YaHei"/>
          <w:b/>
          <w:bCs/>
          <w:color w:val="0A1628"/>
          <w:sz w:val="28"/>
          <w:szCs w:val="28"/>
        </w:rPr>
        <w:t xml:space="preserve">5.5. Sistema de Alertas</w:t>
      </w:r>
      <w:bookmarkEnd w:id="100016"/>
    </w:p>
    <w:p>
      <w:pPr>
        <w:spacing w:after="120" w:line="312"/>
        <w:ind w:firstLine="480"/>
        <w:jc w:val="both"/>
      </w:pPr>
      <w:r>
        <w:rPr>
          <w:rFonts w:ascii="Calibri" w:eastAsia="Microsoft YaHei"/>
          <w:color w:val="1A2B40"/>
          <w:sz w:val="24"/>
          <w:szCs w:val="24"/>
        </w:rPr>
        <w:t xml:space="preserve">El sistema de alertas proporciona notificaciones tributarias proactivas con diferentes niveles de severidad (critico, alto, medio, bajo e informativo). Las alertas preconfiguradas incluyen recordatorios de vencimientos fiscales (dia 15 de cada mes para declaraciones, dia 10 para Seguridad Social), oportunidades de optimizacion fiscal (maximizacion de deducciones, separacion de cuentas personales y de negocio), advertencias sobre actualizaciones normativas publicadas en la Gaceta Oficial, y sugerencias de formalizacion empresarial. El usuario puede marcar las alertas como leidas y administrar su bandeja desde el modulo correspondiente.</w:t>
      </w:r>
    </w:p>
    <w:p>
      <w:pPr>
        <w:pStyle w:val="Heading2"/>
        <w:spacing w:after="150" w:before="300"/>
      </w:pPr>
      <w:bookmarkStart w:id="100017" w:name="_Toc100017"/>
      <w:r>
        <w:rPr>
          <w:rFonts w:ascii="Calibri" w:eastAsia="Microsoft YaHei"/>
          <w:b/>
          <w:bCs/>
          <w:color w:val="0A1628"/>
          <w:sz w:val="28"/>
          <w:szCs w:val="28"/>
        </w:rPr>
        <w:t xml:space="preserve">5.6. Exportar e Importar Datos</w:t>
      </w:r>
      <w:bookmarkEnd w:id="100017"/>
    </w:p>
    <w:p>
      <w:pPr>
        <w:spacing w:after="120" w:line="312"/>
        <w:ind w:firstLine="480"/>
        <w:jc w:val="both"/>
      </w:pPr>
      <w:r>
        <w:rPr>
          <w:rFonts w:ascii="Calibri" w:eastAsia="Microsoft YaHei"/>
          <w:color w:val="1A2B40"/>
          <w:sz w:val="24"/>
          <w:szCs w:val="24"/>
        </w:rPr>
        <w:t xml:space="preserve">La aplicacion permite exportar todos los datos almacenados en IndexedDB a un archivo JSON estructurado que incluye la fecha de exportacion, version del formato, y los datos de todas las tablas (negocios, transacciones, tasas impositivas, tasas de cambio y alertas). De manera inversa, se pueden importar datos desde un archivo JSON previamente exportado, reemplazando completamente los datos existentes tras confirmacion del usuario. Esta funcionalidad es especialmente util para realizar respaldos periodicos, migrar datos entre dispositivos, o compartir la configuracion contable entre negocios.</w:t>
      </w:r>
    </w:p>
    <w:p>
      <w:pPr>
        <w:pStyle w:val="Heading1"/>
        <w:spacing w:after="200" w:before="400"/>
      </w:pPr>
      <w:bookmarkStart w:id="100018" w:name="_Toc100018"/>
      <w:r>
        <w:rPr>
          <w:rFonts w:ascii="Calibri" w:eastAsia="Microsoft YaHei"/>
          <w:b/>
          <w:bCs/>
          <w:color w:val="0A1628"/>
          <w:sz w:val="32"/>
          <w:szCs w:val="32"/>
        </w:rPr>
        <w:t xml:space="preserve">6. Control de Acceso: Plan de Mejoras Futuras</w:t>
      </w:r>
      <w:bookmarkEnd w:id="100018"/>
    </w:p>
    <w:p>
      <w:pPr>
        <w:pStyle w:val="Heading2"/>
        <w:spacing w:after="150" w:before="300"/>
      </w:pPr>
      <w:bookmarkStart w:id="100019" w:name="_Toc100019"/>
      <w:r>
        <w:rPr>
          <w:rFonts w:ascii="Calibri" w:eastAsia="Microsoft YaHei"/>
          <w:b/>
          <w:bCs/>
          <w:color w:val="0A1628"/>
          <w:sz w:val="28"/>
          <w:szCs w:val="28"/>
        </w:rPr>
        <w:t xml:space="preserve">6.1. Limitaciones del Modelo Actual</w:t>
      </w:r>
      <w:bookmarkEnd w:id="100019"/>
    </w:p>
    <w:p>
      <w:pPr>
        <w:spacing w:after="120" w:line="312"/>
        <w:ind w:firstLine="480"/>
        <w:jc w:val="both"/>
      </w:pPr>
      <w:r>
        <w:rPr>
          <w:rFonts w:ascii="Calibri" w:eastAsia="Microsoft YaHei"/>
          <w:color w:val="1A2B40"/>
          <w:sz w:val="24"/>
          <w:szCs w:val="24"/>
        </w:rPr>
        <w:t xml:space="preserve">El modelo actual de control de acceso tiene limitaciones significativas que deben abordarse para escalar la aplicacion a un entorno multiusuario real. La principal limitacion es que la base de datos es local en cada dispositivo: no hay sincronizacion entre dispositivos, no existe un servidor central de autenticacion, y cada dispositivo es un universo de datos independiente. Esto significa que el administrador no puede crear usuarios de forma centralizada que funcionen en todos los dispositivos, y no es posible auditar o controlar el acceso de manera remota.</w:t>
      </w:r>
    </w:p>
    <w:p>
      <w:pPr>
        <w:spacing w:after="120" w:line="312"/>
        <w:ind w:firstLine="480"/>
        <w:jc w:val="both"/>
      </w:pPr>
      <w:r>
        <w:rPr>
          <w:rFonts w:ascii="Calibri" w:eastAsia="Microsoft YaHei"/>
          <w:color w:val="1A2B40"/>
          <w:sz w:val="24"/>
          <w:szCs w:val="24"/>
        </w:rPr>
        <w:t xml:space="preserve">Adicionalmente, las contrasenas se almacenan con un salt fijo visible en el codigo fuente, la sesion se maneja con sessionStorage (se pierde al cerrar el navegador), y no hay mecanismos de recuperacion de contrasena, autenticacion de dos factores, ni registro de actividad (audit log). Todas estas son areas que el plan de mejoras propone abordar de manera incremental.</w:t>
      </w:r>
    </w:p>
    <w:p>
      <w:pPr>
        <w:pStyle w:val="Heading2"/>
        <w:spacing w:after="150" w:before="300"/>
      </w:pPr>
      <w:bookmarkStart w:id="100020" w:name="_Toc100020"/>
      <w:r>
        <w:rPr>
          <w:rFonts w:ascii="Calibri" w:eastAsia="Microsoft YaHei"/>
          <w:b/>
          <w:bCs/>
          <w:color w:val="0A1628"/>
          <w:sz w:val="28"/>
          <w:szCs w:val="28"/>
        </w:rPr>
        <w:t xml:space="preserve">6.2. Plan de Mejoras por Fases</w:t>
      </w:r>
      <w:bookmarkEnd w:id="100020"/>
    </w:p>
    <w:p>
      <w:pPr>
        <w:pStyle w:val="Heading3"/>
        <w:spacing w:after="100" w:before="200"/>
      </w:pPr>
      <w:bookmarkStart w:id="100021" w:name="_Toc100021"/>
      <w:r>
        <w:rPr>
          <w:rFonts w:ascii="Calibri" w:eastAsia="Microsoft YaHei"/>
          <w:b/>
          <w:bCs/>
          <w:color w:val="1B6B7A"/>
          <w:sz w:val="24"/>
          <w:szCs w:val="24"/>
        </w:rPr>
        <w:t xml:space="preserve">Fase 1: Fortalecimiento Local (sin servidor)</w:t>
      </w:r>
      <w:bookmarkEnd w:id="100021"/>
    </w:p>
    <w:p>
      <w:pPr>
        <w:spacing w:after="120" w:line="312"/>
        <w:ind w:firstLine="480"/>
        <w:jc w:val="both"/>
      </w:pPr>
      <w:r>
        <w:rPr>
          <w:rFonts w:ascii="Calibri" w:eastAsia="Microsoft YaHei"/>
          <w:color w:val="1A2B40"/>
          <w:sz w:val="24"/>
          <w:szCs w:val="24"/>
        </w:rPr>
        <w:t xml:space="preserve">Esta fase se puede implementar sin agregar un backend, mejorando la seguridad del modelo local existente. Incluye: generacion de salts unicos por usuario almacenados en IndexedDB; migracion de sessionStorage a localStorage para persistencia de sesion entre cierres de navegador; implementacion de un PIN de acceso rapido de 4-6 digitos; generacion de codigos de invitacion que permitan al administrador crear nuevos usuarios desde su dispositivo y compartirlos por via externa (WhatsApp, email); y un registro local de actividad (audit log) que registre inicios de sesion, cambios de contrasena y operaciones criticas.</w:t>
      </w:r>
    </w:p>
    <w:p>
      <w:pPr>
        <w:pStyle w:val="Heading3"/>
        <w:spacing w:after="100" w:before="200"/>
      </w:pPr>
      <w:bookmarkStart w:id="100022" w:name="_Toc100022"/>
      <w:r>
        <w:rPr>
          <w:rFonts w:ascii="Calibri" w:eastAsia="Microsoft YaHei"/>
          <w:b/>
          <w:bCs/>
          <w:color w:val="1B6B7A"/>
          <w:sz w:val="24"/>
          <w:szCs w:val="24"/>
        </w:rPr>
        <w:t xml:space="preserve">Fase 2: Sincronizacion entre Dispositivos</w:t>
      </w:r>
      <w:bookmarkEnd w:id="100022"/>
    </w:p>
    <w:p>
      <w:pPr>
        <w:spacing w:after="120" w:line="312"/>
        <w:ind w:firstLine="480"/>
        <w:jc w:val="both"/>
      </w:pPr>
      <w:r>
        <w:rPr>
          <w:rFonts w:ascii="Calibri" w:eastAsia="Microsoft YaHei"/>
          <w:color w:val="1A2B40"/>
          <w:sz w:val="24"/>
          <w:szCs w:val="24"/>
        </w:rPr>
        <w:t xml:space="preserve">Esta fase introduce la capacidad de sincronizar datos entre dispositivos del mismo usuario o del mismo negocio. Las opciones incluyen: implementar un sistema de sincronizacion peer-to-peer mediante WebRTC, utilizando un servidor de senalizacion (signaling server) minimalista solo para establecer conexiones directas entre dispositivos; o implementar un servicio de sincronizacion basado en un backend ligero (por ejemplo, Supabase o Firebase Firestore) que permita almacenar los datos cifrados del usuario y sincronizarlos entre dispositivos. En ambos casos, los datos permanecerian cifrados extremo-a-extremo, de modo que ni siquiera el servidor de sincronizacion podria leer la informacion contable del usuario.</w:t>
      </w:r>
    </w:p>
    <w:p>
      <w:pPr>
        <w:pStyle w:val="Heading3"/>
        <w:spacing w:after="100" w:before="200"/>
      </w:pPr>
      <w:bookmarkStart w:id="100023" w:name="_Toc100023"/>
      <w:r>
        <w:rPr>
          <w:rFonts w:ascii="Calibri" w:eastAsia="Microsoft YaHei"/>
          <w:b/>
          <w:bCs/>
          <w:color w:val="1B6B7A"/>
          <w:sz w:val="24"/>
          <w:szCs w:val="24"/>
        </w:rPr>
        <w:t xml:space="preserve">Fase 3: Autenticacion Centralizada</w:t>
      </w:r>
      <w:bookmarkEnd w:id="100023"/>
    </w:p>
    <w:p>
      <w:pPr>
        <w:spacing w:after="120" w:line="312"/>
        <w:ind w:firstLine="480"/>
        <w:jc w:val="both"/>
      </w:pPr>
      <w:r>
        <w:rPr>
          <w:rFonts w:ascii="Calibri" w:eastAsia="Microsoft YaHei"/>
          <w:color w:val="1A2B40"/>
          <w:sz w:val="24"/>
          <w:szCs w:val="24"/>
        </w:rPr>
        <w:t xml:space="preserve">La fase final introduce un sistema de autenticacion centralizado que permite al administrador controlar el acceso de forma remota desde cualquier dispositivo. Esto incluye: integracion con un proveedor de autenticacion como Supabase Auth, Firebase Auth, o Clerk; gestion centralizada de usuarios con capacidad de crear, editar, desactivar y eliminar cuentas desde cualquier dispositivo del administrador; autenticacion de dos factores (2FA) mediante codigo SMS o aplicacion autenticadora; recuperacion de contrasena por correo electronico; roles y permisos granulares (por ejemplo, un contador puede ver pero no modificar datos); y un dashboard de administracion con metricas de uso y actividad de usuarios.</w:t>
      </w:r>
    </w:p>
    <w:p>
      <w:pPr>
        <w:pStyle w:val="Heading2"/>
        <w:spacing w:after="150" w:before="300"/>
      </w:pPr>
      <w:bookmarkStart w:id="100024" w:name="_Toc100024"/>
      <w:r>
        <w:rPr>
          <w:rFonts w:ascii="Calibri" w:eastAsia="Microsoft YaHei"/>
          <w:b/>
          <w:bCs/>
          <w:color w:val="0A1628"/>
          <w:sz w:val="28"/>
          <w:szCs w:val="28"/>
        </w:rPr>
        <w:t xml:space="preserve">6.3. Opciones de Implementacion Recomendadas</w:t>
      </w:r>
      <w:bookmarkEnd w:id="100024"/>
    </w:p>
    <w:tbl>
      <w:tblPr>
        <w:tblW w:type="pct" w:w="100%"/>
        <w:tblBorders>
          <w:top w:val="single" w:color="1B6B7A" w:sz="2"/>
          <w:left/>
          <w:bottom w:val="single" w:color="1B6B7A" w:sz="2"/>
          <w:right/>
          <w:insideH w:val="single" w:color="D0D8DE" w:sz="1"/>
          <w:insideV/>
        </w:tblBorders>
      </w:tblPr>
      <w:tblGrid>
        <w:gridCol w:w="100"/>
        <w:gridCol w:w="100"/>
        <w:gridCol w:w="100"/>
        <w:gridCol w:w="100"/>
      </w:tblGrid>
      <w:tr>
        <w:trPr>
          <w:cantSplit/>
          <w:tblHeader/>
        </w:trPr>
        <w:tc>
          <w:tcPr>
            <w:tcW w:type="pct" w:w="20%"/>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Solucion</w:t>
            </w:r>
          </w:p>
        </w:tc>
        <w:tc>
          <w:tcPr>
            <w:tcW w:type="pct" w:w="1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Costo</w:t>
            </w:r>
          </w:p>
        </w:tc>
        <w:tc>
          <w:tcPr>
            <w:tcW w:type="pct" w:w="20%"/>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Complejidad</w:t>
            </w:r>
          </w:p>
        </w:tc>
        <w:tc>
          <w:tcPr>
            <w:tcW w:type="pct" w:w="4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Ventaja Principal</w:t>
            </w:r>
          </w:p>
        </w:tc>
      </w:tr>
      <w:tr>
        <w:trPr>
          <w:cantSplit/>
        </w:trPr>
        <w:tc>
          <w:tcPr>
            <w:tcW w:type="pct" w:w="20%"/>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Mejora local pura</w:t>
            </w:r>
          </w:p>
        </w:tc>
        <w:tc>
          <w:tcPr>
            <w:tcW w:type="pct" w:w="1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Gratis</w:t>
            </w:r>
          </w:p>
        </w:tc>
        <w:tc>
          <w:tcPr>
            <w:tcW w:type="pct" w:w="20%"/>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Baja</w:t>
            </w:r>
          </w:p>
        </w:tc>
        <w:tc>
          <w:tcPr>
            <w:tcW w:type="pct" w:w="4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Sin dependencias externas, privacidad maxima</w:t>
            </w:r>
          </w:p>
        </w:tc>
      </w:tr>
      <w:tr>
        <w:trPr>
          <w:cantSplit/>
        </w:trPr>
        <w:tc>
          <w:tcPr>
            <w:tcW w:type="pct" w:w="20%"/>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Supabase (Auth + DB)</w:t>
            </w:r>
          </w:p>
        </w:tc>
        <w:tc>
          <w:tcPr>
            <w:tcW w:type="pct" w:w="1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Free tier generoso</w:t>
            </w:r>
          </w:p>
        </w:tc>
        <w:tc>
          <w:tcPr>
            <w:tcW w:type="pct" w:w="20%"/>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Media</w:t>
            </w:r>
          </w:p>
        </w:tc>
        <w:tc>
          <w:tcPr>
            <w:tcW w:type="pct" w:w="4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Backend completo, realtime, auth integrado</w:t>
            </w:r>
          </w:p>
        </w:tc>
      </w:tr>
      <w:tr>
        <w:trPr>
          <w:cantSplit/>
        </w:trPr>
        <w:tc>
          <w:tcPr>
            <w:tcW w:type="pct" w:w="20%"/>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Firebase (Auth + Firestore)</w:t>
            </w:r>
          </w:p>
        </w:tc>
        <w:tc>
          <w:tcPr>
            <w:tcW w:type="pct" w:w="1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Free tier amplio</w:t>
            </w:r>
          </w:p>
        </w:tc>
        <w:tc>
          <w:tcPr>
            <w:tcW w:type="pct" w:w="20%"/>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Media</w:t>
            </w:r>
          </w:p>
        </w:tc>
        <w:tc>
          <w:tcPr>
            <w:tcW w:type="pct" w:w="4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Sincronizacion automatica, push notifications</w:t>
            </w:r>
          </w:p>
        </w:tc>
      </w:tr>
      <w:tr>
        <w:trPr>
          <w:cantSplit/>
        </w:trPr>
        <w:tc>
          <w:tcPr>
            <w:tcW w:type="pct" w:w="20%"/>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Clerk + base de datos propia</w:t>
            </w:r>
          </w:p>
        </w:tc>
        <w:tc>
          <w:tcPr>
            <w:tcW w:type="pct" w:w="1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Desde $0/mes</w:t>
            </w:r>
          </w:p>
        </w:tc>
        <w:tc>
          <w:tcPr>
            <w:tcW w:type="pct" w:w="20%"/>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Media-Alta</w:t>
            </w:r>
          </w:p>
        </w:tc>
        <w:tc>
          <w:tcPr>
            <w:tcW w:type="pct" w:w="4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Auth empresarial de alta calidad, UI preconstruida</w:t>
            </w:r>
          </w:p>
        </w:tc>
      </w:tr>
      <w:tr>
        <w:trPr>
          <w:cantSplit/>
        </w:trPr>
        <w:tc>
          <w:tcPr>
            <w:tcW w:type="pct" w:w="20%"/>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WebRTC P2P (sin backend)</w:t>
            </w:r>
          </w:p>
        </w:tc>
        <w:tc>
          <w:tcPr>
            <w:tcW w:type="pct" w:w="1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Gratis</w:t>
            </w:r>
          </w:p>
        </w:tc>
        <w:tc>
          <w:tcPr>
            <w:tcW w:type="pct" w:w="20%"/>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Alta</w:t>
            </w:r>
          </w:p>
        </w:tc>
        <w:tc>
          <w:tcPr>
            <w:tcW w:type="pct" w:w="4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Sin servidor central, datos nunca salen del dispositivo</w:t>
            </w:r>
          </w:p>
        </w:tc>
      </w:tr>
    </w:tbl>
    <w:p>
      <w:pPr>
        <w:spacing w:after="200"/>
      </w:pPr>
    </w:p>
    <w:p>
      <w:pPr>
        <w:pStyle w:val="Heading1"/>
        <w:spacing w:after="200" w:before="400"/>
      </w:pPr>
      <w:bookmarkStart w:id="100025" w:name="_Toc100025"/>
      <w:r>
        <w:rPr>
          <w:rFonts w:ascii="Calibri" w:eastAsia="Microsoft YaHei"/>
          <w:b/>
          <w:bCs/>
          <w:color w:val="0A1628"/>
          <w:sz w:val="32"/>
          <w:szCs w:val="32"/>
        </w:rPr>
        <w:t xml:space="preserve">7. Roadmap de Mejoras Futuras</w:t>
      </w:r>
      <w:bookmarkEnd w:id="100025"/>
    </w:p>
    <w:p>
      <w:pPr>
        <w:pStyle w:val="Heading2"/>
        <w:spacing w:after="150" w:before="300"/>
      </w:pPr>
      <w:bookmarkStart w:id="100026" w:name="_Toc100026"/>
      <w:r>
        <w:rPr>
          <w:rFonts w:ascii="Calibri" w:eastAsia="Microsoft YaHei"/>
          <w:b/>
          <w:bCs/>
          <w:color w:val="0A1628"/>
          <w:sz w:val="28"/>
          <w:szCs w:val="28"/>
        </w:rPr>
        <w:t xml:space="preserve">7.1. Mejoras de Corto Plazo (1-2 semanas)</w:t>
      </w:r>
      <w:bookmarkEnd w:id="100026"/>
    </w:p>
    <w:p>
      <w:pPr>
        <w:spacing w:after="120" w:line="312"/>
        <w:ind w:firstLine="480"/>
        <w:jc w:val="both"/>
      </w:pPr>
      <w:r>
        <w:rPr>
          <w:rFonts w:ascii="Calibri" w:eastAsia="Microsoft YaHei"/>
          <w:color w:val="1A2B40"/>
          <w:sz w:val="24"/>
          <w:szCs w:val="24"/>
        </w:rPr>
        <w:t xml:space="preserve">Dentro de las mejoras que se pueden implementar rapidamente se encuentran: fortalecimiento del sistema de autenticacion local con salts unicos por usuario y almacenamiento persistente de sesion; generacion de codigos de invitacion para compartir acceso sin exponer credenciales; implementacion de un registro de actividad local (audit log) para rastrear operaciones criticas; mejora del modulo de impuestos con calculadora automatica que estime el impuesto a pagar basandose en los ingresos y gastos registrados del periodo; y generacion de reportes PDF exportables con resumenes mensuales y anuales de la actividad contable.</w:t>
      </w:r>
    </w:p>
    <w:p>
      <w:pPr>
        <w:pStyle w:val="Heading2"/>
        <w:spacing w:after="150" w:before="300"/>
      </w:pPr>
      <w:bookmarkStart w:id="100027" w:name="_Toc100027"/>
      <w:r>
        <w:rPr>
          <w:rFonts w:ascii="Calibri" w:eastAsia="Microsoft YaHei"/>
          <w:b/>
          <w:bCs/>
          <w:color w:val="0A1628"/>
          <w:sz w:val="28"/>
          <w:szCs w:val="28"/>
        </w:rPr>
        <w:t xml:space="preserve">7.2. Mejoras de Mediano Plazo (1-2 meses)</w:t>
      </w:r>
      <w:bookmarkEnd w:id="100027"/>
    </w:p>
    <w:p>
      <w:pPr>
        <w:spacing w:after="120" w:line="312"/>
        <w:ind w:firstLine="480"/>
        <w:jc w:val="both"/>
      </w:pPr>
      <w:r>
        <w:rPr>
          <w:rFonts w:ascii="Calibri" w:eastAsia="Microsoft YaHei"/>
          <w:color w:val="1A2B40"/>
          <w:sz w:val="24"/>
          <w:szCs w:val="24"/>
        </w:rPr>
        <w:t xml:space="preserve">En el mediano plazo se recomienda: integracion de una API de tasas de cambio en tiempo real (por ejemplo, scraping automatizado de El Toque o integration con la API de Atales) para mantener la cotizacion actualizada sin intervencion manual; implementacion del Libro Diario y Libro Mayor electronico con formato compatible con los requisitos de la ONAT; modulo de declaraciones fiscales que genere formularios prellenados listos para presentacion; sistema de respaldo automatico periodico con exportacion programada a un servicio de almacenamiento en la nube; y adaptacion de la interfaz como Progressive Web App (PWA) para instalacion en dispositivos moviles y funcionamiento offline avanzado con sincronizacion diferida.</w:t>
      </w:r>
    </w:p>
    <w:p>
      <w:pPr>
        <w:pStyle w:val="Heading2"/>
        <w:spacing w:after="150" w:before="300"/>
      </w:pPr>
      <w:bookmarkStart w:id="100028" w:name="_Toc100028"/>
      <w:r>
        <w:rPr>
          <w:rFonts w:ascii="Calibri" w:eastAsia="Microsoft YaHei"/>
          <w:b/>
          <w:bCs/>
          <w:color w:val="0A1628"/>
          <w:sz w:val="28"/>
          <w:szCs w:val="28"/>
        </w:rPr>
        <w:t xml:space="preserve">7.3. Mejoras de Largo Plazo (3-6 meses)</w:t>
      </w:r>
      <w:bookmarkEnd w:id="100028"/>
    </w:p>
    <w:p>
      <w:pPr>
        <w:spacing w:after="120" w:line="312"/>
        <w:ind w:firstLine="480"/>
        <w:jc w:val="both"/>
      </w:pPr>
      <w:r>
        <w:rPr>
          <w:rFonts w:ascii="Calibri" w:eastAsia="Microsoft YaHei"/>
          <w:color w:val="1A2B40"/>
          <w:sz w:val="24"/>
          <w:szCs w:val="24"/>
        </w:rPr>
        <w:t xml:space="preserve">A largo plazo, las mejoras mas significativas incluyen: implementacion de un backend ligero con Supabase o Firebase para sincronizacion multi-dispositivo y autenticacion centralizada; sistema de alertas inteligentes con analisis predictivo que anticipe obligaciones fiscales y detecte anomalias en los patrones de gasto; modulo de presupuestos anuales con seguimiento de desviaciones y recomendaciones de ajuste; integracion con APIs bancarias cubanas (cuando esten disponibles) para importacion automatica de movimientos; y un sistema de reportes avanzados con comparaciones interanuales, indicadores de rentabilidad, y proyecciones financieras.</w:t>
      </w:r>
    </w:p>
    <w:p>
      <w:pPr>
        <w:pStyle w:val="Heading1"/>
        <w:spacing w:after="200" w:before="400"/>
      </w:pPr>
      <w:bookmarkStart w:id="100029" w:name="_Toc100029"/>
      <w:r>
        <w:rPr>
          <w:rFonts w:ascii="Calibri" w:eastAsia="Microsoft YaHei"/>
          <w:b/>
          <w:bCs/>
          <w:color w:val="0A1628"/>
          <w:sz w:val="32"/>
          <w:szCs w:val="32"/>
        </w:rPr>
        <w:t xml:space="preserve">8. Credenciales y Acceso Rapido</w:t>
      </w:r>
      <w:bookmarkEnd w:id="100029"/>
    </w:p>
    <w:tbl>
      <w:tblPr>
        <w:tblW w:type="pct" w:w="100%"/>
        <w:tblBorders>
          <w:top w:val="single" w:color="1B6B7A" w:sz="2"/>
          <w:left/>
          <w:bottom w:val="single" w:color="1B6B7A" w:sz="2"/>
          <w:right/>
          <w:insideH w:val="single" w:color="D0D8DE" w:sz="1"/>
          <w:insideV/>
        </w:tblBorders>
      </w:tblPr>
      <w:tblGrid>
        <w:gridCol w:w="100"/>
        <w:gridCol w:w="100"/>
      </w:tblGrid>
      <w:tr>
        <w:trPr>
          <w:cantSplit/>
          <w:tblHeader/>
        </w:trPr>
        <w:tc>
          <w:tcPr>
            <w:tcW w:type="pct" w:w="3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Dato</w:t>
            </w:r>
          </w:p>
        </w:tc>
        <w:tc>
          <w:tcPr>
            <w:tcW w:type="pct" w:w="65%"/>
            <w:shd w:fill="1B6B7A" w:val="clear"/>
            <w:tcMar>
              <w:top w:type="dxa" w:w="60"/>
              <w:left w:type="dxa" w:w="120"/>
              <w:bottom w:type="dxa" w:w="60"/>
              <w:right w:type="dxa" w:w="120"/>
            </w:tcMar>
          </w:tcPr>
          <w:p>
            <w:pPr>
              <w:jc w:val="center"/>
            </w:pPr>
            <w:r>
              <w:rPr>
                <w:rFonts w:ascii="Calibri" w:eastAsia="Microsoft YaHei"/>
                <w:b/>
                <w:bCs/>
                <w:color w:val="FFFFFF"/>
                <w:sz w:val="21"/>
                <w:szCs w:val="21"/>
              </w:rPr>
              <w:t xml:space="preserve">Valor</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URL</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https://my-project-steel-six.vercel.app</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Usuario Admin</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admin</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Contrasena Admin</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admin123 (cambiar en Configuracion &gt; Usuarios)</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GitHub Repo</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https://github.com/Chambatina1/CuentasPrecision</w:t>
            </w:r>
          </w:p>
        </w:tc>
      </w:tr>
      <w:tr>
        <w:trPr>
          <w:cantSplit/>
        </w:trPr>
        <w:tc>
          <w:tcPr>
            <w:tcW w:type="pct" w:w="35%"/>
            <w:shd w:fill="EDF3F5" w:val="clear"/>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Vercel Token</w:t>
            </w:r>
          </w:p>
        </w:tc>
        <w:tc>
          <w:tcPr>
            <w:tcW w:type="pct" w:w="65%"/>
            <w:tcMar>
              <w:top w:type="dxa" w:w="60"/>
              <w:left w:type="dxa" w:w="120"/>
              <w:bottom w:type="dxa" w:w="60"/>
              <w:right w:type="dxa" w:w="120"/>
            </w:tcMar>
          </w:tcPr>
          <w:p>
            <w:pPr>
              <w:jc w:val="left"/>
            </w:pPr>
            <w:r>
              <w:rPr>
                <w:rFonts w:ascii="Calibri" w:eastAsia="Microsoft YaHei"/>
                <w:b w:val="false"/>
                <w:bCs w:val="false"/>
                <w:color w:val="1A2B40"/>
                <w:sz w:val="21"/>
                <w:szCs w:val="21"/>
              </w:rPr>
              <w:t xml:space="preserve">vcp_3Ocn... (almacenado de forma segura)</w:t>
            </w:r>
          </w:p>
        </w:tc>
      </w:tr>
    </w:tbl>
    <w:p>
      <w:pPr>
        <w:spacing w:after="200"/>
      </w:pPr>
    </w:p>
    <w:p>
      <w:pPr>
        <w:spacing w:after="120" w:line="312"/>
        <w:ind w:firstLine="480"/>
        <w:jc w:val="both"/>
      </w:pPr>
      <w:r>
        <w:rPr>
          <w:rFonts w:ascii="Calibri" w:eastAsia="Microsoft YaHei"/>
          <w:color w:val="1A2B40"/>
          <w:sz w:val="24"/>
          <w:szCs w:val="24"/>
        </w:rPr>
        <w:t xml:space="preserve">Nota importante: Se recomienda encarecidamente cambiar la contrasena del administrador inmediatamente despues del primer acceso. Para hacerlo, ingrese a Configuracion &gt; Usuarios, haga clic en el icono de editar junto al usuario admin, y establezca una nueva contrasena. Adicionalmente, se recomienda crear al menos un segundo usuario con rol de administrador como respaldo.</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CuentasPrecision - Informe Tecnico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CuentasPrecision - Informe Tecnico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Calibri" w:eastAsia="Microsoft YaHei"/>
      <w:b/>
      <w:bCs/>
      <w:color w:val="0A1628"/>
      <w:sz w:val="32"/>
      <w:szCs w:val="32"/>
    </w:rPr>
  </w:style>
  <w:style w:type="paragraph" w:styleId="Heading2">
    <w:name w:val="Heading 2"/>
    <w:basedOn w:val="Normal"/>
    <w:next w:val="Normal"/>
    <w:qFormat/>
    <w:pPr>
      <w:spacing w:after="150" w:before="300" w:line="312"/>
      <w:outlineLvl w:val="1"/>
    </w:pPr>
    <w:rPr>
      <w:rFonts w:ascii="Calibri" w:eastAsia="Microsoft YaHei"/>
      <w:b/>
      <w:bCs/>
      <w:color w:val="0A1628"/>
      <w:sz w:val="28"/>
      <w:szCs w:val="28"/>
    </w:rPr>
  </w:style>
  <w:style w:type="paragraph" w:styleId="Heading3">
    <w:name w:val="Heading 3"/>
    <w:basedOn w:val="Normal"/>
    <w:next w:val="Normal"/>
    <w:qFormat/>
    <w:pPr>
      <w:spacing w:after="100" w:before="200" w:line="312"/>
      <w:outlineLvl w:val="2"/>
    </w:pPr>
    <w:rPr>
      <w:rFonts w:ascii="Calibri" w:eastAsia="Microsoft YaHe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2026-04-26T16:43:30.797Z</dcterms:created>
  <dcterms:modified xsi:type="dcterms:W3CDTF">2026-04-26T16:43:30.797Z</dcterms:modified>
</cp:coreProperties>
</file>

<file path=docProps/custom.xml><?xml version="1.0" encoding="utf-8"?>
<Properties xmlns="http://schemas.openxmlformats.org/officeDocument/2006/custom-properties" xmlns:vt="http://schemas.openxmlformats.org/officeDocument/2006/docPropsVTypes"/>
</file>