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22D4F"/>
          <w:sz w:val="52"/>
        </w:rPr>
        <w:br/>
        <w:br/>
        <w:t>CAHIER DES CHARGES BACKEND</w:t>
      </w:r>
    </w:p>
    <w:p>
      <w:pPr>
        <w:jc w:val="center"/>
      </w:pPr>
      <w:r>
        <w:rPr>
          <w:b/>
          <w:color w:val="A6782D"/>
          <w:sz w:val="36"/>
        </w:rPr>
        <w:t>Système de digitalisation du Pôle National de Promotion de l’Emploi (PNPE)</w:t>
      </w:r>
    </w:p>
    <w:p>
      <w:pPr>
        <w:jc w:val="center"/>
      </w:pPr>
      <w:r>
        <w:rPr>
          <w:i/>
          <w:color w:val="5A5A5A"/>
          <w:sz w:val="24"/>
        </w:rPr>
        <w:t>Spécifications fonctionnelles et techniques du backend</w:t>
        <w:br/>
        <w:t>Version orientée pilotage DG, suivi des chargés, entreprises, entretiens, formations et insertion</w:t>
      </w:r>
    </w:p>
    <w:tbl>
      <w:tblPr>
        <w:tblW w:type="auto" w:w="0"/>
        <w:jc w:val="center"/>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2381"/>
        <w:gridCol w:w="6123"/>
      </w:tblGrid>
      <w:tr>
        <w:tc>
          <w:tcPr>
            <w:tcW w:type="dxa" w:w="4873"/>
            <w:shd w:fill="1F4E79"/>
            <w:tcMar>
              <w:top w:w="90" w:type="dxa"/>
              <w:start w:w="120" w:type="dxa"/>
              <w:bottom w:w="90" w:type="dxa"/>
              <w:end w:w="120" w:type="dxa"/>
            </w:tcMar>
            <w:vAlign w:val="center"/>
          </w:tcPr>
          <w:p>
            <w:pPr>
              <w:jc w:val="left"/>
            </w:pPr>
            <w:r>
              <w:rPr>
                <w:b/>
                <w:color w:val="FFFFFF"/>
                <w:sz w:val="20"/>
              </w:rPr>
              <w:t>Client / institution</w:t>
            </w:r>
          </w:p>
        </w:tc>
        <w:tc>
          <w:tcPr>
            <w:tcW w:type="dxa" w:w="4873"/>
            <w:shd w:fill="F7F9FC"/>
            <w:tcMar>
              <w:top w:w="90" w:type="dxa"/>
              <w:start w:w="120" w:type="dxa"/>
              <w:bottom w:w="90" w:type="dxa"/>
              <w:end w:w="120" w:type="dxa"/>
            </w:tcMar>
            <w:vAlign w:val="center"/>
          </w:tcPr>
          <w:p>
            <w:r>
              <w:rPr>
                <w:color w:val="282828"/>
                <w:sz w:val="21"/>
              </w:rPr>
              <w:t>PNPE — Démo stratégique</w:t>
            </w:r>
          </w:p>
        </w:tc>
      </w:tr>
      <w:tr>
        <w:tc>
          <w:tcPr>
            <w:tcW w:type="dxa" w:w="4873"/>
            <w:shd w:fill="1F4E79"/>
            <w:tcMar>
              <w:top w:w="90" w:type="dxa"/>
              <w:start w:w="120" w:type="dxa"/>
              <w:bottom w:w="90" w:type="dxa"/>
              <w:end w:w="120" w:type="dxa"/>
            </w:tcMar>
            <w:vAlign w:val="center"/>
          </w:tcPr>
          <w:p>
            <w:pPr>
              <w:jc w:val="left"/>
            </w:pPr>
            <w:r>
              <w:rPr>
                <w:b/>
                <w:color w:val="FFFFFF"/>
                <w:sz w:val="20"/>
              </w:rPr>
              <w:t>Périmètre</w:t>
            </w:r>
          </w:p>
        </w:tc>
        <w:tc>
          <w:tcPr>
            <w:tcW w:type="dxa" w:w="4873"/>
            <w:shd w:fill="F7F9FC"/>
            <w:tcMar>
              <w:top w:w="90" w:type="dxa"/>
              <w:start w:w="120" w:type="dxa"/>
              <w:bottom w:w="90" w:type="dxa"/>
              <w:end w:w="120" w:type="dxa"/>
            </w:tcMar>
            <w:vAlign w:val="center"/>
          </w:tcPr>
          <w:p>
            <w:r>
              <w:rPr>
                <w:color w:val="282828"/>
                <w:sz w:val="21"/>
              </w:rPr>
              <w:t>Backend métier, sécurité, traçabilité, pilotage et API</w:t>
            </w:r>
          </w:p>
        </w:tc>
      </w:tr>
      <w:tr>
        <w:tc>
          <w:tcPr>
            <w:tcW w:type="dxa" w:w="4873"/>
            <w:shd w:fill="1F4E79"/>
            <w:tcMar>
              <w:top w:w="90" w:type="dxa"/>
              <w:start w:w="120" w:type="dxa"/>
              <w:bottom w:w="90" w:type="dxa"/>
              <w:end w:w="120" w:type="dxa"/>
            </w:tcMar>
            <w:vAlign w:val="center"/>
          </w:tcPr>
          <w:p>
            <w:pPr>
              <w:jc w:val="left"/>
            </w:pPr>
            <w:r>
              <w:rPr>
                <w:b/>
                <w:color w:val="FFFFFF"/>
                <w:sz w:val="20"/>
              </w:rPr>
              <w:t>Cible principale</w:t>
            </w:r>
          </w:p>
        </w:tc>
        <w:tc>
          <w:tcPr>
            <w:tcW w:type="dxa" w:w="4873"/>
            <w:shd w:fill="F7F9FC"/>
            <w:tcMar>
              <w:top w:w="90" w:type="dxa"/>
              <w:start w:w="120" w:type="dxa"/>
              <w:bottom w:w="90" w:type="dxa"/>
              <w:end w:w="120" w:type="dxa"/>
            </w:tcMar>
            <w:vAlign w:val="center"/>
          </w:tcPr>
          <w:p>
            <w:r>
              <w:rPr>
                <w:color w:val="282828"/>
                <w:sz w:val="21"/>
              </w:rPr>
              <w:t>DG, Direction, administrateurs, chargés, partenaires entreprises</w:t>
            </w:r>
          </w:p>
        </w:tc>
      </w:tr>
      <w:tr>
        <w:tc>
          <w:tcPr>
            <w:tcW w:type="dxa" w:w="4873"/>
            <w:shd w:fill="1F4E79"/>
            <w:tcMar>
              <w:top w:w="90" w:type="dxa"/>
              <w:start w:w="120" w:type="dxa"/>
              <w:bottom w:w="90" w:type="dxa"/>
              <w:end w:w="120" w:type="dxa"/>
            </w:tcMar>
            <w:vAlign w:val="center"/>
          </w:tcPr>
          <w:p>
            <w:pPr>
              <w:jc w:val="left"/>
            </w:pPr>
            <w:r>
              <w:rPr>
                <w:b/>
                <w:color w:val="FFFFFF"/>
                <w:sz w:val="20"/>
              </w:rPr>
              <w:t>Date</w:t>
            </w:r>
          </w:p>
        </w:tc>
        <w:tc>
          <w:tcPr>
            <w:tcW w:type="dxa" w:w="4873"/>
            <w:shd w:fill="F7F9FC"/>
            <w:tcMar>
              <w:top w:w="90" w:type="dxa"/>
              <w:start w:w="120" w:type="dxa"/>
              <w:bottom w:w="90" w:type="dxa"/>
              <w:end w:w="120" w:type="dxa"/>
            </w:tcMar>
            <w:vAlign w:val="center"/>
          </w:tcPr>
          <w:p>
            <w:r>
              <w:rPr>
                <w:color w:val="282828"/>
                <w:sz w:val="21"/>
              </w:rPr>
              <w:t>26 mars 2026</w:t>
            </w:r>
          </w:p>
        </w:tc>
      </w:tr>
    </w:tbl>
    <w:p>
      <w:pPr>
        <w:jc w:val="center"/>
      </w:pPr>
      <w:r>
        <w:rPr>
          <w:color w:val="5A5A5A"/>
          <w:sz w:val="21"/>
        </w:rPr>
        <w:br/>
        <w:t>Document de cadrage destiné à guider les modifications backend avant intégration et démonstration du système.</w:t>
      </w:r>
      <w:r>
        <w:br w:type="page"/>
      </w:r>
    </w:p>
    <w:p>
      <w:pPr>
        <w:pStyle w:val="Heading1"/>
      </w:pPr>
      <w:r>
        <w:t>Note de cadrage</w:t>
      </w:r>
    </w:p>
    <w:p>
      <w:r>
        <w:rPr>
          <w:b/>
        </w:rPr>
        <w:t xml:space="preserve">Ce document formalise les exigences backend d’un système numérique interne pour le PNPE. </w:t>
      </w:r>
      <w:r>
        <w:t>Il est centré sur le métier réel du service public de l’emploi : inscription, qualification des profils, gestion du portefeuille des chargés, prospection et suivi des entreprises, planification et suivi des entretiens, orientation en formation, insertion professionnelle, assainissement de la base et pilotage de la performance.</w:t>
      </w:r>
    </w:p>
    <w:tbl>
      <w:tblPr>
        <w:tblW w:type="auto" w:w="0"/>
        <w:jc w:val="center"/>
        <w:tblLayout w:type="autofit"/>
        <w:tblLook w:firstColumn="1" w:firstRow="1" w:lastColumn="0" w:lastRow="0" w:noHBand="0" w:noVBand="1" w:val="04A0"/>
        <w:tblBorders>
          <w:top w:val="single" w:sz="10" w:space="0" w:color="C9D6E8"/>
          <w:left w:val="single" w:sz="10" w:space="0" w:color="C9D6E8"/>
          <w:bottom w:val="single" w:sz="10" w:space="0" w:color="C9D6E8"/>
          <w:right w:val="single" w:sz="10" w:space="0" w:color="C9D6E8"/>
          <w:insideH w:val="single" w:sz="10" w:space="0" w:color="C9D6E8"/>
          <w:insideV w:val="single" w:sz="10" w:space="0" w:color="C9D6E8"/>
        </w:tblBorders>
      </w:tblPr>
      <w:tblGrid>
        <w:gridCol w:w="9746"/>
      </w:tblGrid>
      <w:tr>
        <w:tc>
          <w:tcPr>
            <w:tcW w:type="dxa" w:w="9746"/>
            <w:shd w:fill="EEF4FB"/>
            <w:tcMar>
              <w:top w:w="120" w:type="dxa"/>
              <w:start w:w="150" w:type="dxa"/>
              <w:bottom w:w="120" w:type="dxa"/>
              <w:end w:w="150" w:type="dxa"/>
            </w:tcMar>
          </w:tcPr>
          <w:p>
            <w:r>
              <w:rPr>
                <w:b/>
                <w:color w:val="122D4F"/>
              </w:rPr>
              <w:t xml:space="preserve">Principes directeurs : </w:t>
            </w:r>
            <w:r>
              <w:t>un dossier unique par demandeur, une traçabilité complète des actions, une lecture DG en un clic, une gestion active des entreprises, des règles de nettoyage de base, des indicateurs opposables et une architecture backend suffisamment robuste pour porter une démo crédible puis une montée en charge progressive.</w:t>
            </w:r>
          </w:p>
        </w:tc>
      </w:tr>
    </w:tbl>
    <w:p>
      <w:pPr>
        <w:pStyle w:val="Heading1"/>
      </w:pPr>
      <w:r>
        <w:t>Sommaire exécutif</w:t>
      </w:r>
    </w:p>
    <w:p>
      <w:pPr>
        <w:ind w:left="283"/>
      </w:pPr>
      <w:r>
        <w:rPr>
          <w:b/>
        </w:rPr>
        <w:t xml:space="preserve">• </w:t>
      </w:r>
      <w:r>
        <w:t>1. Contexte institutionnel et métier du PNPE</w:t>
      </w:r>
    </w:p>
    <w:p>
      <w:pPr>
        <w:ind w:left="283"/>
      </w:pPr>
      <w:r>
        <w:rPr>
          <w:b/>
        </w:rPr>
        <w:t xml:space="preserve">• </w:t>
      </w:r>
      <w:r>
        <w:t>2. Vision cible du backend</w:t>
      </w:r>
    </w:p>
    <w:p>
      <w:pPr>
        <w:ind w:left="283"/>
      </w:pPr>
      <w:r>
        <w:rPr>
          <w:b/>
        </w:rPr>
        <w:t xml:space="preserve">• </w:t>
      </w:r>
      <w:r>
        <w:t>3. Objectifs stratégiques et résultats attendus</w:t>
      </w:r>
    </w:p>
    <w:p>
      <w:pPr>
        <w:ind w:left="283"/>
      </w:pPr>
      <w:r>
        <w:rPr>
          <w:b/>
        </w:rPr>
        <w:t xml:space="preserve">• </w:t>
      </w:r>
      <w:r>
        <w:t>4. Principes de conception</w:t>
      </w:r>
    </w:p>
    <w:p>
      <w:pPr>
        <w:ind w:left="283"/>
      </w:pPr>
      <w:r>
        <w:rPr>
          <w:b/>
        </w:rPr>
        <w:t xml:space="preserve">• </w:t>
      </w:r>
      <w:r>
        <w:t>5. Périmètre fonctionnel détaillé</w:t>
      </w:r>
    </w:p>
    <w:p>
      <w:pPr>
        <w:ind w:left="283"/>
      </w:pPr>
      <w:r>
        <w:rPr>
          <w:b/>
        </w:rPr>
        <w:t xml:space="preserve">• </w:t>
      </w:r>
      <w:r>
        <w:t>6. Données de référence, règles métier et états</w:t>
      </w:r>
    </w:p>
    <w:p>
      <w:pPr>
        <w:ind w:left="283"/>
      </w:pPr>
      <w:r>
        <w:rPr>
          <w:b/>
        </w:rPr>
        <w:t xml:space="preserve">• </w:t>
      </w:r>
      <w:r>
        <w:t>7. Sécurité, rôles et traçabilité</w:t>
      </w:r>
    </w:p>
    <w:p>
      <w:pPr>
        <w:ind w:left="283"/>
      </w:pPr>
      <w:r>
        <w:rPr>
          <w:b/>
        </w:rPr>
        <w:t xml:space="preserve">• </w:t>
      </w:r>
      <w:r>
        <w:t>8. Architecture logique, API et exigences techniques</w:t>
      </w:r>
    </w:p>
    <w:p>
      <w:pPr>
        <w:ind w:left="283"/>
      </w:pPr>
      <w:r>
        <w:rPr>
          <w:b/>
        </w:rPr>
        <w:t xml:space="preserve">• </w:t>
      </w:r>
      <w:r>
        <w:t>9. Indicateurs DG, tableaux de bord et alertes</w:t>
      </w:r>
    </w:p>
    <w:p>
      <w:pPr>
        <w:ind w:left="283"/>
      </w:pPr>
      <w:r>
        <w:rPr>
          <w:b/>
        </w:rPr>
        <w:t xml:space="preserve">• </w:t>
      </w:r>
      <w:r>
        <w:t>10. Priorisation démo, lots d’implémentation et pages nécessaires</w:t>
      </w:r>
    </w:p>
    <w:p>
      <w:pPr>
        <w:pStyle w:val="Heading1"/>
      </w:pPr>
      <w:r>
        <w:t>5. Périmètre fonctionnel détaillé</w:t>
      </w:r>
    </w:p>
    <w:p>
      <w:pPr/>
      <w:r>
        <w:t>Le backend devra couvrir au minimum les modules ci-dessous. Ils constituent le noyau de la démonstration et de la future industrialisation.</w:t>
      </w:r>
    </w:p>
    <w:tbl>
      <w:tblPr>
        <w:tblW w:type="auto" w:w="0"/>
        <w:jc w:val="center"/>
        <w:tblLook w:firstColumn="1" w:firstRow="1" w:lastColumn="0" w:lastRow="0" w:noHBand="0" w:noVBand="1" w:val="04A0"/>
        <w:tblBorders>
          <w:top w:val="single" w:sz="8" w:space="0" w:color="B7C9E2"/>
          <w:left w:val="single" w:sz="8" w:space="0" w:color="B7C9E2"/>
          <w:bottom w:val="single" w:sz="8" w:space="0" w:color="B7C9E2"/>
          <w:right w:val="single" w:sz="8" w:space="0" w:color="B7C9E2"/>
          <w:insideH w:val="single" w:sz="8" w:space="0" w:color="B7C9E2"/>
          <w:insideV w:val="single" w:sz="8" w:space="0" w:color="B7C9E2"/>
        </w:tblBorders>
      </w:tblPr>
      <w:tblGrid>
        <w:gridCol w:w="2436"/>
        <w:gridCol w:w="2436"/>
        <w:gridCol w:w="2436"/>
        <w:gridCol w:w="2436"/>
      </w:tblGrid>
      <w:tr>
        <w:trPr>
          <w:tblHeader w:val="true"/>
        </w:trPr>
        <w:tc>
          <w:tcPr>
            <w:tcW w:type="dxa" w:w="1701"/>
            <w:shd w:fill="1F4E79"/>
            <w:tcMar>
              <w:top w:w="90" w:type="dxa"/>
              <w:start w:w="100" w:type="dxa"/>
              <w:bottom w:w="90" w:type="dxa"/>
              <w:end w:w="100" w:type="dxa"/>
            </w:tcMar>
          </w:tcPr>
          <w:p>
            <w:pPr>
              <w:jc w:val="center"/>
            </w:pPr>
            <w:r>
              <w:rPr>
                <w:b/>
                <w:color w:val="FFFFFF"/>
                <w:sz w:val="20"/>
              </w:rPr>
              <w:t>Module</w:t>
            </w:r>
          </w:p>
        </w:tc>
        <w:tc>
          <w:tcPr>
            <w:tcW w:type="dxa" w:w="2268"/>
            <w:shd w:fill="1F4E79"/>
            <w:tcMar>
              <w:top w:w="90" w:type="dxa"/>
              <w:start w:w="100" w:type="dxa"/>
              <w:bottom w:w="90" w:type="dxa"/>
              <w:end w:w="100" w:type="dxa"/>
            </w:tcMar>
          </w:tcPr>
          <w:p>
            <w:pPr>
              <w:jc w:val="center"/>
            </w:pPr>
            <w:r>
              <w:rPr>
                <w:b/>
                <w:color w:val="FFFFFF"/>
                <w:sz w:val="20"/>
              </w:rPr>
              <w:t>Finalité</w:t>
            </w:r>
          </w:p>
        </w:tc>
        <w:tc>
          <w:tcPr>
            <w:tcW w:type="dxa" w:w="2835"/>
            <w:shd w:fill="1F4E79"/>
            <w:tcMar>
              <w:top w:w="90" w:type="dxa"/>
              <w:start w:w="100" w:type="dxa"/>
              <w:bottom w:w="90" w:type="dxa"/>
              <w:end w:w="100" w:type="dxa"/>
            </w:tcMar>
          </w:tcPr>
          <w:p>
            <w:pPr>
              <w:jc w:val="center"/>
            </w:pPr>
            <w:r>
              <w:rPr>
                <w:b/>
                <w:color w:val="FFFFFF"/>
                <w:sz w:val="20"/>
              </w:rPr>
              <w:t>Objets gérés</w:t>
            </w:r>
          </w:p>
        </w:tc>
        <w:tc>
          <w:tcPr>
            <w:tcW w:type="dxa" w:w="3118"/>
            <w:shd w:fill="1F4E79"/>
            <w:tcMar>
              <w:top w:w="90" w:type="dxa"/>
              <w:start w:w="100" w:type="dxa"/>
              <w:bottom w:w="90" w:type="dxa"/>
              <w:end w:w="100" w:type="dxa"/>
            </w:tcMar>
          </w:tcPr>
          <w:p>
            <w:pPr>
              <w:jc w:val="center"/>
            </w:pPr>
            <w:r>
              <w:rPr>
                <w:b/>
                <w:color w:val="FFFFFF"/>
                <w:sz w:val="20"/>
              </w:rPr>
              <w:t>Livrables attendus côté API</w:t>
            </w:r>
          </w:p>
        </w:tc>
      </w:tr>
      <w:tr>
        <w:tc>
          <w:tcPr>
            <w:tcW w:type="dxa" w:w="1701"/>
            <w:tcMar>
              <w:top w:w="90" w:type="dxa"/>
              <w:start w:w="100" w:type="dxa"/>
              <w:bottom w:w="90" w:type="dxa"/>
              <w:end w:w="100" w:type="dxa"/>
            </w:tcMar>
            <w:vAlign w:val="center"/>
          </w:tcPr>
          <w:p>
            <w:r>
              <w:rPr>
                <w:b/>
                <w:color w:val="122D4F"/>
              </w:rPr>
              <w:t>Demandeurs</w:t>
            </w:r>
          </w:p>
        </w:tc>
        <w:tc>
          <w:tcPr>
            <w:tcW w:type="dxa" w:w="2268"/>
            <w:tcMar>
              <w:top w:w="90" w:type="dxa"/>
              <w:start w:w="100" w:type="dxa"/>
              <w:bottom w:w="90" w:type="dxa"/>
              <w:end w:w="100" w:type="dxa"/>
            </w:tcMar>
            <w:vAlign w:val="center"/>
          </w:tcPr>
          <w:p>
            <w:r>
              <w:t>Gérer le dossier unique et son cycle de vie</w:t>
            </w:r>
          </w:p>
        </w:tc>
        <w:tc>
          <w:tcPr>
            <w:tcW w:type="dxa" w:w="2835"/>
            <w:tcMar>
              <w:top w:w="90" w:type="dxa"/>
              <w:start w:w="100" w:type="dxa"/>
              <w:bottom w:w="90" w:type="dxa"/>
              <w:end w:w="100" w:type="dxa"/>
            </w:tcMar>
            <w:vAlign w:val="center"/>
          </w:tcPr>
          <w:p>
            <w:r>
              <w:t>Identité, coordonnées, CV, compétences, statut, historique</w:t>
            </w:r>
          </w:p>
        </w:tc>
        <w:tc>
          <w:tcPr>
            <w:tcW w:type="dxa" w:w="3118"/>
            <w:tcMar>
              <w:top w:w="90" w:type="dxa"/>
              <w:start w:w="100" w:type="dxa"/>
              <w:bottom w:w="90" w:type="dxa"/>
              <w:end w:w="100" w:type="dxa"/>
            </w:tcMar>
            <w:vAlign w:val="center"/>
          </w:tcPr>
          <w:p>
            <w:r>
              <w:t>CRUD, recherche, consultation détaillée, changement de statut, upload et versionning documentaire</w:t>
            </w:r>
          </w:p>
        </w:tc>
      </w:tr>
      <w:tr>
        <w:tc>
          <w:tcPr>
            <w:tcW w:type="dxa" w:w="1701"/>
            <w:tcMar>
              <w:top w:w="90" w:type="dxa"/>
              <w:start w:w="100" w:type="dxa"/>
              <w:bottom w:w="90" w:type="dxa"/>
              <w:end w:w="100" w:type="dxa"/>
            </w:tcMar>
            <w:vAlign w:val="center"/>
          </w:tcPr>
          <w:p>
            <w:r>
              <w:rPr>
                <w:b/>
                <w:color w:val="122D4F"/>
              </w:rPr>
              <w:t>Chargés / agents</w:t>
            </w:r>
          </w:p>
        </w:tc>
        <w:tc>
          <w:tcPr>
            <w:tcW w:type="dxa" w:w="2268"/>
            <w:tcMar>
              <w:top w:w="90" w:type="dxa"/>
              <w:start w:w="100" w:type="dxa"/>
              <w:bottom w:w="90" w:type="dxa"/>
              <w:end w:w="100" w:type="dxa"/>
            </w:tcMar>
            <w:vAlign w:val="center"/>
          </w:tcPr>
          <w:p>
            <w:r>
              <w:t>Piloter les portefeuilles et la performance</w:t>
            </w:r>
          </w:p>
        </w:tc>
        <w:tc>
          <w:tcPr>
            <w:tcW w:type="dxa" w:w="2835"/>
            <w:tcMar>
              <w:top w:w="90" w:type="dxa"/>
              <w:start w:w="100" w:type="dxa"/>
              <w:bottom w:w="90" w:type="dxa"/>
              <w:end w:w="100" w:type="dxa"/>
            </w:tcMar>
            <w:vAlign w:val="center"/>
          </w:tcPr>
          <w:p>
            <w:r>
              <w:t>Profil agent, agence, département, rôle, portefeuille, activités</w:t>
            </w:r>
          </w:p>
        </w:tc>
        <w:tc>
          <w:tcPr>
            <w:tcW w:type="dxa" w:w="3118"/>
            <w:tcMar>
              <w:top w:w="90" w:type="dxa"/>
              <w:start w:w="100" w:type="dxa"/>
              <w:bottom w:w="90" w:type="dxa"/>
              <w:end w:w="100" w:type="dxa"/>
            </w:tcMar>
            <w:vAlign w:val="center"/>
          </w:tcPr>
          <w:p>
            <w:r>
              <w:t>Liste, fiche agent, portefeuille, indicateurs, objectifs, activités récentes</w:t>
            </w:r>
          </w:p>
        </w:tc>
      </w:tr>
      <w:tr>
        <w:tc>
          <w:tcPr>
            <w:tcW w:type="dxa" w:w="1701"/>
            <w:tcMar>
              <w:top w:w="90" w:type="dxa"/>
              <w:start w:w="100" w:type="dxa"/>
              <w:bottom w:w="90" w:type="dxa"/>
              <w:end w:w="100" w:type="dxa"/>
            </w:tcMar>
            <w:vAlign w:val="center"/>
          </w:tcPr>
          <w:p>
            <w:r>
              <w:rPr>
                <w:b/>
                <w:color w:val="122D4F"/>
              </w:rPr>
              <w:t>Entreprises</w:t>
            </w:r>
          </w:p>
        </w:tc>
        <w:tc>
          <w:tcPr>
            <w:tcW w:type="dxa" w:w="2268"/>
            <w:tcMar>
              <w:top w:w="90" w:type="dxa"/>
              <w:start w:w="100" w:type="dxa"/>
              <w:bottom w:w="90" w:type="dxa"/>
              <w:end w:w="100" w:type="dxa"/>
            </w:tcMar>
            <w:vAlign w:val="center"/>
          </w:tcPr>
          <w:p>
            <w:r>
              <w:t>Suivre les partenaires et leur collaboration réelle</w:t>
            </w:r>
          </w:p>
        </w:tc>
        <w:tc>
          <w:tcPr>
            <w:tcW w:type="dxa" w:w="2835"/>
            <w:tcMar>
              <w:top w:w="90" w:type="dxa"/>
              <w:start w:w="100" w:type="dxa"/>
              <w:bottom w:w="90" w:type="dxa"/>
              <w:end w:w="100" w:type="dxa"/>
            </w:tcMar>
            <w:vAlign w:val="center"/>
          </w:tcPr>
          <w:p>
            <w:r>
              <w:t>Fiche entreprise, contacts, offres, historique de recrutement, taux de transformation</w:t>
            </w:r>
          </w:p>
        </w:tc>
        <w:tc>
          <w:tcPr>
            <w:tcW w:type="dxa" w:w="3118"/>
            <w:tcMar>
              <w:top w:w="90" w:type="dxa"/>
              <w:start w:w="100" w:type="dxa"/>
              <w:bottom w:w="90" w:type="dxa"/>
              <w:end w:w="100" w:type="dxa"/>
            </w:tcMar>
            <w:vAlign w:val="center"/>
          </w:tcPr>
          <w:p>
            <w:r>
              <w:t>CRUD, fiches de suivi, tableaux statistiques, historiques de profils envoyés et embauches</w:t>
            </w:r>
          </w:p>
        </w:tc>
      </w:tr>
      <w:tr>
        <w:tc>
          <w:tcPr>
            <w:tcW w:type="dxa" w:w="1701"/>
            <w:tcMar>
              <w:top w:w="90" w:type="dxa"/>
              <w:start w:w="100" w:type="dxa"/>
              <w:bottom w:w="90" w:type="dxa"/>
              <w:end w:w="100" w:type="dxa"/>
            </w:tcMar>
            <w:vAlign w:val="center"/>
          </w:tcPr>
          <w:p>
            <w:r>
              <w:rPr>
                <w:b/>
                <w:color w:val="122D4F"/>
              </w:rPr>
              <w:t>Entretiens</w:t>
            </w:r>
          </w:p>
        </w:tc>
        <w:tc>
          <w:tcPr>
            <w:tcW w:type="dxa" w:w="2268"/>
            <w:tcMar>
              <w:top w:w="90" w:type="dxa"/>
              <w:start w:w="100" w:type="dxa"/>
              <w:bottom w:w="90" w:type="dxa"/>
              <w:end w:w="100" w:type="dxa"/>
            </w:tcMar>
            <w:vAlign w:val="center"/>
          </w:tcPr>
          <w:p>
            <w:r>
              <w:t>Tracer toutes les mises en relation et leurs suites</w:t>
            </w:r>
          </w:p>
        </w:tc>
        <w:tc>
          <w:tcPr>
            <w:tcW w:type="dxa" w:w="2835"/>
            <w:tcMar>
              <w:top w:w="90" w:type="dxa"/>
              <w:start w:w="100" w:type="dxa"/>
              <w:bottom w:w="90" w:type="dxa"/>
              <w:end w:w="100" w:type="dxa"/>
            </w:tcMar>
            <w:vAlign w:val="center"/>
          </w:tcPr>
          <w:p>
            <w:r>
              <w:t>Rendez-vous, poste, date, statut, retours, motifs</w:t>
            </w:r>
          </w:p>
        </w:tc>
        <w:tc>
          <w:tcPr>
            <w:tcW w:type="dxa" w:w="3118"/>
            <w:tcMar>
              <w:top w:w="90" w:type="dxa"/>
              <w:start w:w="100" w:type="dxa"/>
              <w:bottom w:w="90" w:type="dxa"/>
              <w:end w:w="100" w:type="dxa"/>
            </w:tcMar>
            <w:vAlign w:val="center"/>
          </w:tcPr>
          <w:p>
            <w:r>
              <w:t>Création, planification, confirmation, clôture, motifs d’absence, issue finale</w:t>
            </w:r>
          </w:p>
        </w:tc>
      </w:tr>
      <w:tr>
        <w:tc>
          <w:tcPr>
            <w:tcW w:type="dxa" w:w="1701"/>
            <w:tcMar>
              <w:top w:w="90" w:type="dxa"/>
              <w:start w:w="100" w:type="dxa"/>
              <w:bottom w:w="90" w:type="dxa"/>
              <w:end w:w="100" w:type="dxa"/>
            </w:tcMar>
            <w:vAlign w:val="center"/>
          </w:tcPr>
          <w:p>
            <w:r>
              <w:rPr>
                <w:b/>
                <w:color w:val="122D4F"/>
              </w:rPr>
              <w:t>Formations</w:t>
            </w:r>
          </w:p>
        </w:tc>
        <w:tc>
          <w:tcPr>
            <w:tcW w:type="dxa" w:w="2268"/>
            <w:tcMar>
              <w:top w:w="90" w:type="dxa"/>
              <w:start w:w="100" w:type="dxa"/>
              <w:bottom w:w="90" w:type="dxa"/>
              <w:end w:w="100" w:type="dxa"/>
            </w:tcMar>
            <w:vAlign w:val="center"/>
          </w:tcPr>
          <w:p>
            <w:r>
              <w:t>Orienter et transformer les profils insuffisamment employables</w:t>
            </w:r>
          </w:p>
        </w:tc>
        <w:tc>
          <w:tcPr>
            <w:tcW w:type="dxa" w:w="2835"/>
            <w:tcMar>
              <w:top w:w="90" w:type="dxa"/>
              <w:start w:w="100" w:type="dxa"/>
              <w:bottom w:w="90" w:type="dxa"/>
              <w:end w:w="100" w:type="dxa"/>
            </w:tcMar>
            <w:vAlign w:val="center"/>
          </w:tcPr>
          <w:p>
            <w:r>
              <w:t>Catalogues, sessions, inscriptions, présences, évaluations</w:t>
            </w:r>
          </w:p>
        </w:tc>
        <w:tc>
          <w:tcPr>
            <w:tcW w:type="dxa" w:w="3118"/>
            <w:tcMar>
              <w:top w:w="90" w:type="dxa"/>
              <w:start w:w="100" w:type="dxa"/>
              <w:bottom w:w="90" w:type="dxa"/>
              <w:end w:w="100" w:type="dxa"/>
            </w:tcMar>
            <w:vAlign w:val="center"/>
          </w:tcPr>
          <w:p>
            <w:r>
              <w:t>Création de session, affectation, suivi de participation, bilan par demandeur et par agent</w:t>
            </w:r>
          </w:p>
        </w:tc>
      </w:tr>
      <w:tr>
        <w:tc>
          <w:tcPr>
            <w:tcW w:type="dxa" w:w="1701"/>
            <w:tcMar>
              <w:top w:w="90" w:type="dxa"/>
              <w:start w:w="100" w:type="dxa"/>
              <w:bottom w:w="90" w:type="dxa"/>
              <w:end w:w="100" w:type="dxa"/>
            </w:tcMar>
            <w:vAlign w:val="center"/>
          </w:tcPr>
          <w:p>
            <w:r>
              <w:rPr>
                <w:b/>
                <w:color w:val="122D4F"/>
              </w:rPr>
              <w:t>Insertions</w:t>
            </w:r>
          </w:p>
        </w:tc>
        <w:tc>
          <w:tcPr>
            <w:tcW w:type="dxa" w:w="2268"/>
            <w:tcMar>
              <w:top w:w="90" w:type="dxa"/>
              <w:start w:w="100" w:type="dxa"/>
              <w:bottom w:w="90" w:type="dxa"/>
              <w:end w:w="100" w:type="dxa"/>
            </w:tcMar>
            <w:vAlign w:val="center"/>
          </w:tcPr>
          <w:p>
            <w:r>
              <w:t>Acter les placements et corriger les stats globales</w:t>
            </w:r>
          </w:p>
        </w:tc>
        <w:tc>
          <w:tcPr>
            <w:tcW w:type="dxa" w:w="2835"/>
            <w:tcMar>
              <w:top w:w="90" w:type="dxa"/>
              <w:start w:w="100" w:type="dxa"/>
              <w:bottom w:w="90" w:type="dxa"/>
              <w:end w:w="100" w:type="dxa"/>
            </w:tcMar>
            <w:vAlign w:val="center"/>
          </w:tcPr>
          <w:p>
            <w:r>
              <w:t>Embauche, entreprise, poste, date, type de contrat, source</w:t>
            </w:r>
          </w:p>
        </w:tc>
        <w:tc>
          <w:tcPr>
            <w:tcW w:type="dxa" w:w="3118"/>
            <w:tcMar>
              <w:top w:w="90" w:type="dxa"/>
              <w:start w:w="100" w:type="dxa"/>
              <w:bottom w:w="90" w:type="dxa"/>
              <w:end w:w="100" w:type="dxa"/>
            </w:tcMar>
            <w:vAlign w:val="center"/>
          </w:tcPr>
          <w:p>
            <w:r>
              <w:t>Validation insertion, correction automatique des tableaux de bord et clôture de cycle</w:t>
            </w:r>
          </w:p>
        </w:tc>
      </w:tr>
      <w:tr>
        <w:tc>
          <w:tcPr>
            <w:tcW w:type="dxa" w:w="1701"/>
            <w:tcMar>
              <w:top w:w="90" w:type="dxa"/>
              <w:start w:w="100" w:type="dxa"/>
              <w:bottom w:w="90" w:type="dxa"/>
              <w:end w:w="100" w:type="dxa"/>
            </w:tcMar>
            <w:vAlign w:val="center"/>
          </w:tcPr>
          <w:p>
            <w:r>
              <w:rPr>
                <w:b/>
                <w:color w:val="122D4F"/>
              </w:rPr>
              <w:t>Historique / audit</w:t>
            </w:r>
          </w:p>
        </w:tc>
        <w:tc>
          <w:tcPr>
            <w:tcW w:type="dxa" w:w="2268"/>
            <w:tcMar>
              <w:top w:w="90" w:type="dxa"/>
              <w:start w:w="100" w:type="dxa"/>
              <w:bottom w:w="90" w:type="dxa"/>
              <w:end w:w="100" w:type="dxa"/>
            </w:tcMar>
            <w:vAlign w:val="center"/>
          </w:tcPr>
          <w:p>
            <w:r>
              <w:t>Constituer la preuve opposable</w:t>
            </w:r>
          </w:p>
        </w:tc>
        <w:tc>
          <w:tcPr>
            <w:tcW w:type="dxa" w:w="2835"/>
            <w:tcMar>
              <w:top w:w="90" w:type="dxa"/>
              <w:start w:w="100" w:type="dxa"/>
              <w:bottom w:w="90" w:type="dxa"/>
              <w:end w:w="100" w:type="dxa"/>
            </w:tcMar>
            <w:vAlign w:val="center"/>
          </w:tcPr>
          <w:p>
            <w:r>
              <w:t>Logs, acteurs, horodatages, champs modifiés, commentaires</w:t>
            </w:r>
          </w:p>
        </w:tc>
        <w:tc>
          <w:tcPr>
            <w:tcW w:type="dxa" w:w="3118"/>
            <w:tcMar>
              <w:top w:w="90" w:type="dxa"/>
              <w:start w:w="100" w:type="dxa"/>
              <w:bottom w:w="90" w:type="dxa"/>
              <w:end w:w="100" w:type="dxa"/>
            </w:tcMar>
            <w:vAlign w:val="center"/>
          </w:tcPr>
          <w:p>
            <w:r>
              <w:t>Journal filtrable, historique par dossier, audit sécurité et audit métier</w:t>
            </w:r>
          </w:p>
        </w:tc>
      </w:tr>
      <w:tr>
        <w:tc>
          <w:tcPr>
            <w:tcW w:type="dxa" w:w="1701"/>
            <w:tcMar>
              <w:top w:w="90" w:type="dxa"/>
              <w:start w:w="100" w:type="dxa"/>
              <w:bottom w:w="90" w:type="dxa"/>
              <w:end w:w="100" w:type="dxa"/>
            </w:tcMar>
            <w:vAlign w:val="center"/>
          </w:tcPr>
          <w:p>
            <w:r>
              <w:rPr>
                <w:b/>
                <w:color w:val="122D4F"/>
              </w:rPr>
              <w:t>Pilotage DG</w:t>
            </w:r>
          </w:p>
        </w:tc>
        <w:tc>
          <w:tcPr>
            <w:tcW w:type="dxa" w:w="2268"/>
            <w:tcMar>
              <w:top w:w="90" w:type="dxa"/>
              <w:start w:w="100" w:type="dxa"/>
              <w:bottom w:w="90" w:type="dxa"/>
              <w:end w:w="100" w:type="dxa"/>
            </w:tcMar>
            <w:vAlign w:val="center"/>
          </w:tcPr>
          <w:p>
            <w:r>
              <w:t>Donner une vision nationale et locale en un clic</w:t>
            </w:r>
          </w:p>
        </w:tc>
        <w:tc>
          <w:tcPr>
            <w:tcW w:type="dxa" w:w="2835"/>
            <w:tcMar>
              <w:top w:w="90" w:type="dxa"/>
              <w:start w:w="100" w:type="dxa"/>
              <w:bottom w:w="90" w:type="dxa"/>
              <w:end w:w="100" w:type="dxa"/>
            </w:tcMar>
            <w:vAlign w:val="center"/>
          </w:tcPr>
          <w:p>
            <w:r>
              <w:t>KPI, alertes, comparaisons, suivis d’agence</w:t>
            </w:r>
          </w:p>
        </w:tc>
        <w:tc>
          <w:tcPr>
            <w:tcW w:type="dxa" w:w="3118"/>
            <w:tcMar>
              <w:top w:w="90" w:type="dxa"/>
              <w:start w:w="100" w:type="dxa"/>
              <w:bottom w:w="90" w:type="dxa"/>
              <w:end w:w="100" w:type="dxa"/>
            </w:tcMar>
            <w:vAlign w:val="center"/>
          </w:tcPr>
          <w:p>
            <w:r>
              <w:t>Endpoints d’agrégation, filtres temporels, vues agence / agent / entreprise / demandeur</w:t>
            </w:r>
          </w:p>
        </w:tc>
      </w:tr>
    </w:tbl>
    <w:p>
      <w:pPr>
        <w:pStyle w:val="Heading2"/>
      </w:pPr>
      <w:r>
        <w:t>5.1 Module Demandeurs d’emploi</w:t>
      </w:r>
    </w:p>
    <w:p>
      <w:r>
        <w:t>Chaque demandeur doit posséder un identifiant interne stable et un dossier unique. Le backend devra conserver les informations d’identité, les coordonnées, l’agence d’inscription, le chargé affecté, les pièces clés, le CV principal, les versions éventuelles du CV, les compétences structurées, le niveau d’études, les expériences, les disponibilités, les contraintes et le statut métier courant.</w:t>
      </w:r>
    </w:p>
    <w:p>
      <w:r>
        <w:t>Le backend devra permettre une recherche rapide par nom, numéro de dossier, téléphone, adresse mail, compétence, localisation, niveau ou statut. L’objectif est que le DG puisse saisir un nom et accéder au dossier complet sans dépendre d’une extraction externe. La recherche doit être compatible avec une future montée en charge nationale.</w:t>
      </w:r>
    </w:p>
    <w:p>
      <w:r>
        <w:t>Le dossier demandeur devra intégrer des statistiques dynamiques : nombre d’entretiens proposés, nombre d’entretiens réalisés, nombre d’absences, nombre de formations suivies, date du dernier contact, nombre d’entreprises mobilisées et état final du parcours. Ces données ne doivent pas être saisies manuellement ; elles doivent être calculées à partir des événements métier.</w:t>
      </w:r>
    </w:p>
    <w:p>
      <w:pPr>
        <w:pStyle w:val="Heading2"/>
      </w:pPr>
      <w:r>
        <w:t>5.2 Module Chargés / portefeuille</w:t>
      </w:r>
    </w:p>
    <w:p>
      <w:r>
        <w:t>Chaque chargé doit être rattaché à une agence, à un département ou service si nécessaire, et à un rôle fonctionnel clair. Le backend devra rattacher dynamiquement un portefeuille de demandeurs à chaque chargé, avec possibilité d’historiser les réaffectations.</w:t>
      </w:r>
    </w:p>
    <w:p>
      <w:r>
        <w:t>Le système devra mesurer : le nombre de nouveaux dossiers pris en charge, le nombre de contacts effectués, le nombre d’entretiens programmés, le nombre de suivis post‑entretien réalisés, le nombre d’orientations en formation, le nombre d’insertions et le taux de transformation. Ces KPI sont indispensables pour le pilotage DG.</w:t>
      </w:r>
    </w:p>
    <w:p>
      <w:r>
        <w:t>Il devra être possible d’associer à chaque agent des objectifs périodiques, par exemple un objectif mensuel d’insertions, et de comparer automatiquement le réalisé au cible.</w:t>
      </w:r>
    </w:p>
    <w:p>
      <w:pPr>
        <w:pStyle w:val="Heading2"/>
      </w:pPr>
      <w:r>
        <w:t>5.3 Module Entreprises et relation partenariale</w:t>
      </w:r>
    </w:p>
    <w:p>
      <w:r>
        <w:t>Le backend devra traiter l’entreprise comme un acteur central et non comme un simple carnet d’adresses. Une entreprise devra disposer d’une fiche riche : identité, secteur, sites, interlocuteurs, mode de collaboration, statut de partenariat, historique des besoins exprimés et historique des recrutements réalisés via le PNPE.</w:t>
      </w:r>
    </w:p>
    <w:p>
      <w:r>
        <w:t>Le système devra tracer le nombre de profils envoyés à chaque entreprise, le nombre de rendez‑vous obtenus, le nombre d’entretiens réellement passés, le nombre de refus, le nombre d’embauches et, si possible, le délai de retour. Le but est de mesurer le sérieux réel de la collaboration.</w:t>
      </w:r>
    </w:p>
    <w:p>
      <w:r>
        <w:t>Une entreprise qui reçoit beaucoup de candidatures mais n’embauche presque jamais doit apparaître distinctement dans les tableaux de bord afin d’alimenter les échanges institutionnels avec l’État et la direction générale.</w:t>
      </w:r>
    </w:p>
    <w:p>
      <w:pPr>
        <w:pStyle w:val="Heading2"/>
      </w:pPr>
      <w:r>
        <w:t>5.4 Module Entretiens et suivi post‑entretien</w:t>
      </w:r>
    </w:p>
    <w:p>
      <w:r>
        <w:t>L’entretien doit devenir un objet métier autonome. Pour chaque entretien, le backend devra enregistrer le demandeur, l’entreprise, le poste, le chargé responsable, la date et l’heure, le lieu ou le mode de rendez‑vous, le statut courant et le résultat final.</w:t>
      </w:r>
    </w:p>
    <w:p>
      <w:r>
        <w:t>Après l’heure prévue, le système devra permettre — et à terme pousser — un suivi post‑entretien : entretien honoré, demandeur absent, entretien reporté, refus entreprise, demande d’information complémentaire, embauche, ou clôture sans suite. Ce mécanisme est essentiel à la vérité opérationnelle du système.</w:t>
      </w:r>
    </w:p>
    <w:p>
      <w:r>
        <w:t>L’historique d’un demandeur devra montrer la chronologie complète des entretiens. Le DG doit pouvoir constater qu’un demandeur a reçu un, deux ou trois entretiens, savoir s’il s’y est rendu et voir l’issue de chaque étape.</w:t>
      </w:r>
    </w:p>
    <w:p>
      <w:pPr>
        <w:pStyle w:val="Heading2"/>
      </w:pPr>
      <w:r>
        <w:t>5.5 Module Formations</w:t>
      </w:r>
    </w:p>
    <w:p>
      <w:r>
        <w:t>Le backend devra intégrer la logique selon laquelle un demandeur non réinséré peut nécessiter un renforcement d’employabilité. Le système devra donc gérer un catalogue de formations, des sessions, des inscriptions, des présences, des résultats et un bilan par demandeur.</w:t>
      </w:r>
    </w:p>
    <w:p>
      <w:r>
        <w:t>Une formation pourra être déclenchée suite à un diagnostic du chargé, suite à plusieurs échecs d’entretien, suite à une inadéquation du profil avec le marché ou suite à la demande explicite d’une entreprise partenaire sur certaines compétences.</w:t>
      </w:r>
    </w:p>
    <w:p>
      <w:r>
        <w:t>Le dossier demandeur devra montrer le nombre de formations suivies, les dates, les intitulés, l’état de participation et l’effet métier attendu : remise à niveau, professionnalisation, employabilité immédiate, réorientation, ou préparation à l’auto‑emploi.</w:t>
      </w:r>
    </w:p>
    <w:p>
      <w:pPr>
        <w:pStyle w:val="Heading2"/>
      </w:pPr>
      <w:r>
        <w:t>5.6 Module Insertions et clôture positive</w:t>
      </w:r>
    </w:p>
    <w:p>
      <w:r>
        <w:t>Une insertion ne doit pas être une note libre. Elle doit être formalisée par un événement structuré avec date, entreprise, poste, type de contrat, éventuel site d’affectation, source de l’offre, chargé ayant conduit le placement et statut de validation.</w:t>
      </w:r>
    </w:p>
    <w:p>
      <w:r>
        <w:t>La validation d’une insertion devra mettre à jour automatiquement le statut du demandeur, les statistiques du chargé, les statistiques de l’entreprise et les agrégats globaux du dashboard DG. L’intégrité de ces mises à jour est critique pour la crédibilité de la démo.</w:t>
      </w:r>
    </w:p>
    <w:p>
      <w:r>
        <w:t>Le système devra également prévoir une distinction entre insertion confirmée, insertion à confirmer, insertion annulée et insertion terminée, afin d’éviter des statistiques artificiellement gonflées.</w:t>
      </w:r>
    </w:p>
    <w:p>
      <w:pPr>
        <w:pStyle w:val="Heading2"/>
      </w:pPr>
      <w:r>
        <w:t>5.7 Module Nettoyage et assainissement de base</w:t>
      </w:r>
    </w:p>
    <w:p>
      <w:r>
        <w:t>Le backend devra intégrer des règles de qualité de base. Un demandeur n’ayant donné aucun signe de vie, un dossier sans CV exploitable, un profil déjà inséré, un dossier doublonné ou un demandeur ayant manqué plusieurs entretiens sans justification devront pouvoir être signalés automatiquement.</w:t>
      </w:r>
    </w:p>
    <w:p>
      <w:r>
        <w:t>Il devra être possible de faire évoluer le statut vers inactif, suspendu, clôturé, à réactiver, déjà inséré ou radié selon les règles retenues. L’objectif n’est pas punitif ; il s’agit de conserver une base utile, sincère et pilotable.</w:t>
      </w:r>
    </w:p>
    <w:p>
      <w:r>
        <w:t>Des campagnes de mise à jour pourront à terme être déclenchées à partir de cette logique, mais la démo doit déjà montrer la structure des statuts et l’intelligence métier attendue.</w:t>
      </w:r>
    </w:p>
    <w:p>
      <w:pPr>
        <w:pStyle w:val="Heading1"/>
      </w:pPr>
      <w:r>
        <w:t>1. Contexte institutionnel et analyse métier approfondie</w:t>
      </w:r>
    </w:p>
    <w:p>
      <w:r>
        <w:t>Le PNPE est le service public de l’emploi de la République Gabonaise. Les sources institutionnelles publiques consultées le présentent comme l’organisme chargé de contribuer, pour le compte de l’État, à l’insertion et à la réinsertion professionnelles, à la mise en relation entre l’offre et la demande de travail, et à l’accompagnement des demandeurs vers l’emploi, la formation ou l’auto‑emploi. Les publications du PNPE montrent également une activité fondée sur des programmes d’accompagnement, la publication d’offres, des partenariats entreprises et des actions de formation ou de renforcement de l’employabilité.</w:t>
      </w:r>
    </w:p>
    <w:p>
      <w:r>
        <w:t>D’un point de vue métier, le cœur de la chaîne de valeur du PNPE n’est pas l’enregistrement administratif d’une personne, mais la transformation d’un inscrit en personne insérée. Cela implique plusieurs séquences opérationnelles : accueil, diagnostic, création du dossier, affectation à un chargé, qualification du CV, accompagnement, mise en relation avec une entreprise, entretien, retour post‑entretien, éventuelle formation complémentaire, puis insertion ou réorientation.</w:t>
      </w:r>
    </w:p>
    <w:p>
      <w:r>
        <w:t>Le backend doit donc cesser d’être pensé comme une simple base de données de formulaires. Il doit être conçu comme un moteur métier capable de suivre trois objets stratégiques en parallèle : le demandeur d’emploi, le chargé qui l’accompagne et l’entreprise qui reçoit les candidatures. Toute l’architecture doit refléter cette triple logique.</w:t>
      </w:r>
    </w:p>
    <w:p>
      <w:pPr>
        <w:pStyle w:val="Heading1"/>
      </w:pPr>
      <w:r>
        <w:t>2. Vision cible du backend</w:t>
      </w:r>
    </w:p>
    <w:p>
      <w:r>
        <w:t>Le backend cible est un socle central, sécurisé et historisé, permettant d’alimenter aussi bien l’espace du DG que les espaces opérationnels des gestionnaires, administrateurs et chargés. Il doit offrir une vue temps réel de l’activité, sans dépendre d’agrégations manuelles ni de fichiers dispersés.</w:t>
      </w:r>
    </w:p>
    <w:p>
      <w:r>
        <w:t>Il doit permettre au DG de rechercher immédiatement un demandeur, un agent ou une entreprise, d’afficher l’historique complet des actions et de contrôler la réalité des résultats : entretiens générés, entretiens honorés, formations suivies, insertions réalisées, absences, refus, inactivité, portefeuille agent et niveau de coopération entreprise.</w:t>
      </w:r>
    </w:p>
    <w:p>
      <w:r>
        <w:t>La version démo devra donner une impression de solidité institutionnelle : informations bien normalisées, chronologies lisibles, indicateurs cohérents, journal d’audit crédible, règles métier visibles, et cohérence absolue entre données individuelles et statistiques globales.</w:t>
      </w:r>
    </w:p>
    <w:p>
      <w:pPr>
        <w:pStyle w:val="Heading1"/>
      </w:pPr>
      <w:r>
        <w:t>3. Objectifs stratégiques et résultats attendus</w:t>
      </w:r>
    </w:p>
    <w:p>
      <w:r>
        <w:t>Le backend devra d’abord fournir une base unique, fiable et consultable de tous les demandeurs d’emploi enregistrés. Chaque dossier devra rester accessible, enrichissable et opposable dans le temps, notamment grâce à la conservation du CV, des affectations, des propositions, des entretiens, des formations, des observations et des changements de statut.</w:t>
      </w:r>
    </w:p>
    <w:p>
      <w:r>
        <w:t>Le deuxième objectif est le pilotage de la performance des chargés. Chaque chargé doit disposer d’un portefeuille. Le système doit rendre visible le volume de personnes suivies, les actions engagées, les retours obtenus et les insertions réellement produites. Le DG doit pouvoir identifier immédiatement un agent performant, inactif ou en difficulté.</w:t>
      </w:r>
    </w:p>
    <w:p>
      <w:r>
        <w:t>Le troisième objectif est le suivi exigeant des entreprises. Le PNPE doit pouvoir documenter combien de profils ont été transmis à une entreprise, combien d’entretiens ont été programmés, combien ont été réalisés, combien de candidats ont été retenus, et combien d’embauches ont effectivement suivi. Ainsi, une entreprise partenaire ne pourra plus simplement déclarer qu’elle joue le jeu ; le système devra être capable de le démontrer ou de le contredire.</w:t>
      </w:r>
    </w:p>
    <w:p>
      <w:r>
        <w:t>Le quatrième objectif est l’assainissement intelligent de la base des demandeurs. Le backend doit identifier les profils injoignables, déjà insérés, durablement inactifs, ou ayant refusé de jouer le jeu après plusieurs opportunités. La base devient alors pilotable et utile, au lieu d’être gonflée par des dossiers morts.</w:t>
      </w:r>
    </w:p>
    <w:p>
      <w:pPr>
        <w:pStyle w:val="Heading1"/>
      </w:pPr>
      <w:r>
        <w:t>4. Principes de conception backend</w:t>
      </w:r>
    </w:p>
    <w:p>
      <w:r>
        <w:t>Le backend devra être organisé autour d’un domaine métier clair, avec des entités stables et des relations explicites. Les décisions de conception devront privilégier la traçabilité, la cohérence transactionnelle et la lecture métier plutôt que l’accumulation de champs techniques sans utilité opérationnelle.</w:t>
      </w:r>
    </w:p>
    <w:p>
      <w:r>
        <w:t>Le système devra gérer le dossier unique du demandeur comme point central, mais sans le dissocier des objets qui donnent du sens à son suivi : CV, compétences, expériences, entretiens, affectation à un chargé, relation entreprise, formations, événements, insertion et statut courant.</w:t>
      </w:r>
    </w:p>
    <w:p>
      <w:r>
        <w:t>Tous les événements significatifs devront être historisés. Il ne doit pas être possible de perdre la mémoire d’un contact, d’un entretien, d’une absence, d’une orientation en formation ou d’une embauche. Le backend doit être capable de reconstituer une histoire complète en cas de contrôle, de réclamation publique ou de réunion de pilotage.</w:t>
      </w:r>
    </w:p>
    <w:p>
      <w:r>
        <w:t>La démo devra être lisible pour des gestionnaires. Cela implique des structures de données métier simples, des nomenclatures propres, des statuts compréhensibles et un très bon niveau de préparation des API pour alimenter des interfaces administratives sobres et fortes.</w:t>
      </w:r>
    </w:p>
    <w:p>
      <w:pPr>
        <w:pStyle w:val="Heading1"/>
      </w:pPr>
      <w:r>
        <w:t>6. Données de référence, nomenclatures et règles métier</w:t>
      </w:r>
    </w:p>
    <w:p>
      <w:r>
        <w:t>Le backend devra s’appuyer sur des référentiels centralisés afin d’éviter les saisies libres incohérentes. Devraient au minimum être normalisés : agences, départements, rôles utilisateurs, statuts demandeurs, statuts entretiens, statuts entreprises, types de contrats, niveaux d’études, familles de compétences, types de formations, motifs d’absence, motifs de clôture et motifs d’inactivation.</w:t>
      </w:r>
    </w:p>
    <w:p>
      <w:r>
        <w:t>Pour la démo, la liste des agences et antennes devra être paramétrable. Les utilisateurs ne doivent pas coder la structure territoriale en dur dans les interfaces ; celle‑ci doit être tenue par les tables de référence et consommée par API.</w:t>
      </w:r>
    </w:p>
    <w:p>
      <w:r>
        <w:t>Le moteur de règles métier devra notamment permettre les scénarios suivants : affectation initiale d’un demandeur à un chargé, réaffectation avec historique, suspension après plusieurs absences non justifiées, orientation formation après échecs répétés, passage en statut inséré après validation d’embauche, et remontée automatique des indicateurs associés.</w:t>
      </w:r>
    </w:p>
    <w:p>
      <w:pPr>
        <w:pStyle w:val="Heading1"/>
      </w:pPr>
      <w:r>
        <w:t>7. Sécurité, rôles, autorisations et traçabilité</w:t>
      </w:r>
    </w:p>
    <w:p>
      <w:r>
        <w:t>Le système devra être sécurisé par authentification forte et gestion des rôles. Une base de sécurité JWT avec rafraîchissement contrôlé est adaptée au périmètre de démonstration, sous réserve de préparer proprement la couche d’autorisation.</w:t>
      </w:r>
    </w:p>
    <w:p>
      <w:r>
        <w:t>Les rôles minimaux recommandés sont : Super administrateur / DG, Administrateur central, Responsable d’agence, Chargé de demandeurs d’emploi, Opérateur de saisie, et éventuellement profil consultation. Chaque rôle devra disposer d’autorisations explicites par module et par type d’action (lecture, création, modification, clôture, export, administration).</w:t>
      </w:r>
    </w:p>
    <w:p>
      <w:r>
        <w:t>La traçabilité devra couvrir deux dimensions : la sécurité (connexion, échec de connexion, création de compte, changement de mot de passe, modifications sensibles) et le métier (création d’un demandeur, changement de chargé, entretien créé, retour d’entretien saisi, formation assignée, insertion validée, changement de statut). Le journal devra être filtrable par période, utilisateur, agence, dossier et type d’action.</w:t>
      </w:r>
    </w:p>
    <w:p>
      <w:pPr>
        <w:pStyle w:val="Heading1"/>
      </w:pPr>
      <w:r>
        <w:t>8. Architecture logique et exigences techniques</w:t>
      </w:r>
    </w:p>
    <w:p>
      <w:r>
        <w:t>L’implémentation recommandée est un backend Spring Boot en Java avec Maven et MySQL, structuré en couches claires : controller, service, repository, model, dto, mapper, security, audit, validation, exception et reporting. Une architecture modulaire mais monolithique bien structurée est suffisante pour la démo, à condition d’éviter les couplages anarchiques.</w:t>
      </w:r>
    </w:p>
    <w:p>
      <w:r>
        <w:t>Le modèle devra privilégier des entités métier stables et des DTO adaptés aux usages de l’interface. Les objets exposés au front ne devront pas dépendre directement du modèle persistant lorsqu’il y a des risques de surcharge, de fuite de structure interne ou de boucles de sérialisation.</w:t>
      </w:r>
    </w:p>
    <w:p>
      <w:r>
        <w:t>Le backend devra intégrer une stratégie documentaire pour le CV et les pièces jointes : stockage maîtrisé, métadonnées, type de fichier, taille, auteur du dépôt, version, référence du dossier et URL ou point d’accès sécurisé. Même en démo, il faut éviter les chemins bricolés et les conventions fragiles.</w:t>
      </w:r>
    </w:p>
    <w:p>
      <w:r>
        <w:t>L’ensemble devra être préparé pour des exports ciblés, des agrégations statistiques, une pagination robuste, un filtrage multicritère, et une journalisation technique propre facilitant le diagnostic en démonstration.</w:t>
      </w:r>
    </w:p>
    <w:p>
      <w:pPr>
        <w:pStyle w:val="Heading1"/>
      </w:pPr>
      <w:r>
        <w:t>9. API et contrats de service attendus</w:t>
      </w:r>
    </w:p>
    <w:p>
      <w:r>
        <w:t>Le backend devra exposer des API REST cohérentes et suffisamment lisibles pour que le frontend puisse construire des écrans métier sans logique cachée côté client. Les endpoints doivent refléter le domaine fonctionnel et non un découpage arbitraire des tables.</w:t>
      </w:r>
    </w:p>
    <w:p>
      <w:r>
        <w:t>Les API minimales attendues couvrent : l’authentification, la gestion des utilisateurs et rôles, les référentiels, les demandeurs, les CV et pièces, les agents, les entreprises, les entretiens, les formations, les insertions, le dashboard DG, les statistiques et l’audit. Des endpoints de recherche et de consultation détaillée sont aussi indispensables.</w:t>
      </w:r>
    </w:p>
    <w:p>
      <w:r>
        <w:t>Chaque endpoint important devra renvoyer des données immédiatement exploitables par les écrans : par exemple une fiche demandeur enrichie, une fiche entreprise avec ses statistiques, une fiche agent avec portefeuille et KPI, ainsi que des vues d’agrégation par agence, période et statut.</w:t>
      </w:r>
    </w:p>
    <w:p>
      <w:pPr>
        <w:pStyle w:val="Heading1"/>
      </w:pPr>
      <w:r>
        <w:t>10. Indicateurs DG, alertes et tableaux de bord</w:t>
      </w:r>
    </w:p>
    <w:p>
      <w:r>
        <w:t>Le tableau DG doit permettre de lire l’organisation depuis le national jusqu’au dossier individuel. Le backend devra donc fournir des agrégations multi‑niveaux : national, agence, agent, entreprise, demandeur.</w:t>
      </w:r>
    </w:p>
    <w:p>
      <w:r>
        <w:t>Les indicateurs essentiels comprennent notamment : demandeurs inscrits, demandeurs actifs, dossiers inactifs, CV à mettre à jour, agents actifs, portefeuilles, entretiens programmés, entretiens honorés, absences, formations lancées, entreprises actives, profils transmis, embauches confirmées, taux de transformation, top agents, agents en sous‑performance et entreprises faiblement coopératives.</w:t>
      </w:r>
    </w:p>
    <w:p>
      <w:r>
        <w:t>Le système devra également alimenter des alertes de gestion : dossier sans action depuis X jours, demandeur avec plusieurs absences, entreprise sans retour après plusieurs candidatures, agent avec portefeuille très élevé et faible activité, ou demandeur au CV trop ancien.</w:t>
      </w:r>
    </w:p>
    <w:p>
      <w:pPr>
        <w:pStyle w:val="Heading1"/>
      </w:pPr>
      <w:r>
        <w:t>11. Recommandations d’organisation de la base de données</w:t>
      </w:r>
    </w:p>
    <w:p>
      <w:r>
        <w:t>Le schéma devra séparer clairement les tables de référentiels, les tables cœur métier, les tables d’événements, les tables documentaires et les tables d’audit. Cette séparation facilitera la lisibilité, la maintenance et l’extension future.</w:t>
      </w:r>
    </w:p>
    <w:p>
      <w:r>
        <w:t>À titre indicatif, les groupes de tables devraient couvrir : utilisateurs et sécurité ; agences et structures ; demandeurs et profils ; documents demandeur ; agents et affectations ; entreprises et interlocuteurs ; offres et postes ; entretiens et résultats ; formations et participations ; insertions ; notifications ; audit ; tableaux de bord matérialisés ou vues de reporting si nécessaire.</w:t>
      </w:r>
    </w:p>
    <w:p>
      <w:r>
        <w:t>Le design devra prévoir les index de recherche indispensables, notamment sur les identifiants métier, noms, statuts, agences, agents responsables, entreprises, dates d’entretiens, dates d’insertion et dates de dernière activité.</w:t>
      </w:r>
    </w:p>
    <w:p>
      <w:pPr>
        <w:pStyle w:val="Heading1"/>
      </w:pPr>
      <w:r>
        <w:t>12. Exigences non fonctionnelles</w:t>
      </w:r>
    </w:p>
    <w:p>
      <w:r>
        <w:t>Le backend devra viser la clarté, la robustesse et la stabilité de démonstration. La priorité n’est pas une sophistication prématurée, mais l’absence d’incohérence visible devant des décideurs. Il faut donc des validations sérieuses, des messages d’erreur propres, une bonne gestion transactionnelle, des logs utiles et des performances correctes sur les recherches et agrégations majeures.</w:t>
      </w:r>
    </w:p>
    <w:p>
      <w:r>
        <w:t>Il devra être possible de peupler rapidement un jeu de données de démonstration cohérent : demandeurs, entreprises, entretiens, formations et embauches. La cohérence des chiffres sera essentielle ; les statistiques globales doivent correspondre exactement aux dossiers individuels.</w:t>
      </w:r>
    </w:p>
    <w:p>
      <w:r>
        <w:t>Le système devra aussi être préparé à des environnements de connectivité imparfaite et à une future montée en charge, en particulier sur les requêtes de recherche, de filtrage et d’historique.</w:t>
      </w:r>
    </w:p>
    <w:p>
      <w:pPr>
        <w:pStyle w:val="Heading1"/>
      </w:pPr>
      <w:r>
        <w:t>13. Priorisation de la démo et lotissement recommandé</w:t>
      </w:r>
    </w:p>
    <w:p>
      <w:r>
        <w:t>Lot 1 — indispensable : authentification, utilisateurs, référentiels, demandeurs, agents, entreprises, entretiens, statistiques de base et dashboard DG. Sans ce lot, la démo ne portera pas le métier principal du PNPE.</w:t>
      </w:r>
    </w:p>
    <w:p>
      <w:r>
        <w:t>Lot 2 — fortement recommandé : gestion de CV et pièces, formations, insertions, règles d’assainissement, audit métier, alertes et fiches enrichies. Ce lot donne de la profondeur et répond directement aux préoccupations de suivi réel.</w:t>
      </w:r>
    </w:p>
    <w:p>
      <w:r>
        <w:t>Lot 3 — consolidation : exports, tableaux analytiques plus poussés, paramétrage fin des objectifs, notifications automatiques, qualité des données, jeux de démonstration étendus et optimisations de performance.</w:t>
      </w:r>
    </w:p>
    <w:p>
      <w:pPr>
        <w:pStyle w:val="Heading1"/>
      </w:pPr>
      <w:r>
        <w:t>14. Pages frontend à prévoir pour exploiter correctement ce backend</w:t>
      </w:r>
    </w:p>
    <w:p>
      <w:r>
        <w:t>Même si ce document est centré backend, certaines pages sont indispensables pour valider le modèle métier. Il faudra a minima : un écran de connexion, un dashboard DG, une vue agences, une liste de chargés, une fiche agent, une liste de demandeurs, une fiche demandeur complète, une liste d’entreprises, une fiche entreprise avec statistiques, une liste d’entretiens, une fiche de suivi post‑entretien, une gestion des formations et un écran d’audit ou d’historique.</w:t>
      </w:r>
    </w:p>
    <w:p>
      <w:r>
        <w:t>Pour la démo, la fiche demandeur, la fiche agent et la fiche entreprise sont critiques. Ce sont elles qui matérialisent la promesse du système et permettent au DG de vérifier la vérité des dossiers. Le backend devra donc être pensé en fonction de ces vues, pas l’inverse.</w:t>
      </w:r>
    </w:p>
    <w:p>
      <w:pPr>
        <w:pStyle w:val="Heading1"/>
      </w:pPr>
      <w:r>
        <w:t>15. Conclusion opérationnelle</w:t>
      </w:r>
    </w:p>
    <w:p>
      <w:r>
        <w:t>Le backend demandé n’est pas un simple projet administratif. C’est un outil de pilotage, de preuve et de transformation. Il doit donner au PNPE la capacité de savoir qui est inscrit, qui suit réellement les demandeurs, quelles entreprises collaborent réellement, combien d’entretiens sont effectivement passés, combien de formations ont été données et combien d’embauches ont été produites.</w:t>
      </w:r>
    </w:p>
    <w:p>
      <w:r>
        <w:t>Si ce backend est correctement structuré, il deviendra la colonne vertébrale de toute la démonstration. Il permettra non seulement de présenter une vision moderne du PNPE, mais aussi de poser les bases d’un système capable de discipliner l’activité, de fiabiliser la base et d’outiller le management public avec des preuves concrètes.</w:t>
      </w:r>
    </w:p>
    <w:p>
      <w:pPr>
        <w:pStyle w:val="Heading1"/>
      </w:pPr>
      <w:r>
        <w:t>Annexe A — Endpoints backend recommandés pour la première phase</w:t>
      </w:r>
    </w:p>
    <w:tbl>
      <w:tblPr>
        <w:tblW w:type="auto" w:w="0"/>
        <w:jc w:val="center"/>
        <w:tblLook w:firstColumn="1" w:firstRow="1" w:lastColumn="0" w:lastRow="0" w:noHBand="0" w:noVBand="1" w:val="04A0"/>
        <w:tblBorders>
          <w:top w:val="single" w:sz="8" w:space="0" w:color="B7C9E2"/>
          <w:left w:val="single" w:sz="8" w:space="0" w:color="B7C9E2"/>
          <w:bottom w:val="single" w:sz="8" w:space="0" w:color="B7C9E2"/>
          <w:right w:val="single" w:sz="8" w:space="0" w:color="B7C9E2"/>
          <w:insideH w:val="single" w:sz="8" w:space="0" w:color="B7C9E2"/>
          <w:insideV w:val="single" w:sz="8" w:space="0" w:color="B7C9E2"/>
        </w:tblBorders>
      </w:tblPr>
      <w:tblGrid>
        <w:gridCol w:w="3249"/>
        <w:gridCol w:w="3249"/>
        <w:gridCol w:w="3249"/>
      </w:tblGrid>
      <w:tr>
        <w:trPr>
          <w:tblHeader w:val="true"/>
        </w:trPr>
        <w:tc>
          <w:tcPr>
            <w:tcW w:type="dxa" w:w="3249"/>
            <w:shd w:fill="1F4E79"/>
            <w:tcMar>
              <w:top w:w="90" w:type="dxa"/>
              <w:start w:w="100" w:type="dxa"/>
              <w:bottom w:w="90" w:type="dxa"/>
              <w:end w:w="100" w:type="dxa"/>
            </w:tcMar>
          </w:tcPr>
          <w:p>
            <w:pPr>
              <w:jc w:val="center"/>
            </w:pPr>
            <w:r>
              <w:rPr>
                <w:b/>
                <w:color w:val="FFFFFF"/>
              </w:rPr>
              <w:t>Domaine</w:t>
            </w:r>
          </w:p>
        </w:tc>
        <w:tc>
          <w:tcPr>
            <w:tcW w:type="dxa" w:w="3249"/>
            <w:shd w:fill="1F4E79"/>
            <w:tcMar>
              <w:top w:w="90" w:type="dxa"/>
              <w:start w:w="100" w:type="dxa"/>
              <w:bottom w:w="90" w:type="dxa"/>
              <w:end w:w="100" w:type="dxa"/>
            </w:tcMar>
          </w:tcPr>
          <w:p>
            <w:pPr>
              <w:jc w:val="center"/>
            </w:pPr>
            <w:r>
              <w:rPr>
                <w:b/>
                <w:color w:val="FFFFFF"/>
              </w:rPr>
              <w:t>Exemples d’endpoints</w:t>
            </w:r>
          </w:p>
        </w:tc>
        <w:tc>
          <w:tcPr>
            <w:tcW w:type="dxa" w:w="3249"/>
            <w:shd w:fill="1F4E79"/>
            <w:tcMar>
              <w:top w:w="90" w:type="dxa"/>
              <w:start w:w="100" w:type="dxa"/>
              <w:bottom w:w="90" w:type="dxa"/>
              <w:end w:w="100" w:type="dxa"/>
            </w:tcMar>
          </w:tcPr>
          <w:p>
            <w:pPr>
              <w:jc w:val="center"/>
            </w:pPr>
            <w:r>
              <w:rPr>
                <w:b/>
                <w:color w:val="FFFFFF"/>
              </w:rPr>
              <w:t>Usage métier</w:t>
            </w:r>
          </w:p>
        </w:tc>
      </w:tr>
      <w:tr>
        <w:tc>
          <w:tcPr>
            <w:tcW w:type="dxa" w:w="3249"/>
            <w:tcMar>
              <w:top w:w="90" w:type="dxa"/>
              <w:start w:w="100" w:type="dxa"/>
              <w:bottom w:w="90" w:type="dxa"/>
              <w:end w:w="100" w:type="dxa"/>
            </w:tcMar>
            <w:vAlign w:val="center"/>
          </w:tcPr>
          <w:p>
            <w:r>
              <w:rPr>
                <w:b/>
                <w:color w:val="122D4F"/>
              </w:rPr>
              <w:t>Authentification</w:t>
            </w:r>
          </w:p>
        </w:tc>
        <w:tc>
          <w:tcPr>
            <w:tcW w:type="dxa" w:w="3249"/>
            <w:tcMar>
              <w:top w:w="90" w:type="dxa"/>
              <w:start w:w="100" w:type="dxa"/>
              <w:bottom w:w="90" w:type="dxa"/>
              <w:end w:w="100" w:type="dxa"/>
            </w:tcMar>
            <w:vAlign w:val="center"/>
          </w:tcPr>
          <w:p>
            <w:r>
              <w:t>/auth/login ; /auth/refresh ; /auth/me</w:t>
            </w:r>
          </w:p>
        </w:tc>
        <w:tc>
          <w:tcPr>
            <w:tcW w:type="dxa" w:w="3249"/>
            <w:tcMar>
              <w:top w:w="90" w:type="dxa"/>
              <w:start w:w="100" w:type="dxa"/>
              <w:bottom w:w="90" w:type="dxa"/>
              <w:end w:w="100" w:type="dxa"/>
            </w:tcMar>
            <w:vAlign w:val="center"/>
          </w:tcPr>
          <w:p>
            <w:r>
              <w:t>Connexion sécurisée, contexte utilisateur et rôle</w:t>
            </w:r>
          </w:p>
        </w:tc>
      </w:tr>
      <w:tr>
        <w:tc>
          <w:tcPr>
            <w:tcW w:type="dxa" w:w="3249"/>
            <w:tcMar>
              <w:top w:w="90" w:type="dxa"/>
              <w:start w:w="100" w:type="dxa"/>
              <w:bottom w:w="90" w:type="dxa"/>
              <w:end w:w="100" w:type="dxa"/>
            </w:tcMar>
            <w:vAlign w:val="center"/>
          </w:tcPr>
          <w:p>
            <w:r>
              <w:rPr>
                <w:b/>
                <w:color w:val="122D4F"/>
              </w:rPr>
              <w:t>Référentiels</w:t>
            </w:r>
          </w:p>
        </w:tc>
        <w:tc>
          <w:tcPr>
            <w:tcW w:type="dxa" w:w="3249"/>
            <w:tcMar>
              <w:top w:w="90" w:type="dxa"/>
              <w:start w:w="100" w:type="dxa"/>
              <w:bottom w:w="90" w:type="dxa"/>
              <w:end w:w="100" w:type="dxa"/>
            </w:tcMar>
            <w:vAlign w:val="center"/>
          </w:tcPr>
          <w:p>
            <w:r>
              <w:t>/references/agences ; /references/statuts ; /references/roles</w:t>
            </w:r>
          </w:p>
        </w:tc>
        <w:tc>
          <w:tcPr>
            <w:tcW w:type="dxa" w:w="3249"/>
            <w:tcMar>
              <w:top w:w="90" w:type="dxa"/>
              <w:start w:w="100" w:type="dxa"/>
              <w:bottom w:w="90" w:type="dxa"/>
              <w:end w:w="100" w:type="dxa"/>
            </w:tcMar>
            <w:vAlign w:val="center"/>
          </w:tcPr>
          <w:p>
            <w:r>
              <w:t>Alimenter les listes et verrouiller les nomenclatures</w:t>
            </w:r>
          </w:p>
        </w:tc>
      </w:tr>
      <w:tr>
        <w:tc>
          <w:tcPr>
            <w:tcW w:type="dxa" w:w="3249"/>
            <w:tcMar>
              <w:top w:w="90" w:type="dxa"/>
              <w:start w:w="100" w:type="dxa"/>
              <w:bottom w:w="90" w:type="dxa"/>
              <w:end w:w="100" w:type="dxa"/>
            </w:tcMar>
            <w:vAlign w:val="center"/>
          </w:tcPr>
          <w:p>
            <w:r>
              <w:rPr>
                <w:b/>
                <w:color w:val="122D4F"/>
              </w:rPr>
              <w:t>Demandeurs</w:t>
            </w:r>
          </w:p>
        </w:tc>
        <w:tc>
          <w:tcPr>
            <w:tcW w:type="dxa" w:w="3249"/>
            <w:tcMar>
              <w:top w:w="90" w:type="dxa"/>
              <w:start w:w="100" w:type="dxa"/>
              <w:bottom w:w="90" w:type="dxa"/>
              <w:end w:w="100" w:type="dxa"/>
            </w:tcMar>
            <w:vAlign w:val="center"/>
          </w:tcPr>
          <w:p>
            <w:r>
              <w:t>/demandeurs ; /demandeurs/{id} ; /demandeurs/search</w:t>
            </w:r>
          </w:p>
        </w:tc>
        <w:tc>
          <w:tcPr>
            <w:tcW w:type="dxa" w:w="3249"/>
            <w:tcMar>
              <w:top w:w="90" w:type="dxa"/>
              <w:start w:w="100" w:type="dxa"/>
              <w:bottom w:w="90" w:type="dxa"/>
              <w:end w:w="100" w:type="dxa"/>
            </w:tcMar>
            <w:vAlign w:val="center"/>
          </w:tcPr>
          <w:p>
            <w:r>
              <w:t>Créer, rechercher, consulter et mettre à jour les dossiers</w:t>
            </w:r>
          </w:p>
        </w:tc>
      </w:tr>
      <w:tr>
        <w:tc>
          <w:tcPr>
            <w:tcW w:type="dxa" w:w="3249"/>
            <w:tcMar>
              <w:top w:w="90" w:type="dxa"/>
              <w:start w:w="100" w:type="dxa"/>
              <w:bottom w:w="90" w:type="dxa"/>
              <w:end w:w="100" w:type="dxa"/>
            </w:tcMar>
            <w:vAlign w:val="center"/>
          </w:tcPr>
          <w:p>
            <w:r>
              <w:rPr>
                <w:b/>
                <w:color w:val="122D4F"/>
              </w:rPr>
              <w:t>Documents</w:t>
            </w:r>
          </w:p>
        </w:tc>
        <w:tc>
          <w:tcPr>
            <w:tcW w:type="dxa" w:w="3249"/>
            <w:tcMar>
              <w:top w:w="90" w:type="dxa"/>
              <w:start w:w="100" w:type="dxa"/>
              <w:bottom w:w="90" w:type="dxa"/>
              <w:end w:w="100" w:type="dxa"/>
            </w:tcMar>
            <w:vAlign w:val="center"/>
          </w:tcPr>
          <w:p>
            <w:r>
              <w:t>/demandeurs/{id}/documents ; /documents/{id}/download</w:t>
            </w:r>
          </w:p>
        </w:tc>
        <w:tc>
          <w:tcPr>
            <w:tcW w:type="dxa" w:w="3249"/>
            <w:tcMar>
              <w:top w:w="90" w:type="dxa"/>
              <w:start w:w="100" w:type="dxa"/>
              <w:bottom w:w="90" w:type="dxa"/>
              <w:end w:w="100" w:type="dxa"/>
            </w:tcMar>
            <w:vAlign w:val="center"/>
          </w:tcPr>
          <w:p>
            <w:r>
              <w:t>Gérer CV et pièces jointes</w:t>
            </w:r>
          </w:p>
        </w:tc>
      </w:tr>
      <w:tr>
        <w:tc>
          <w:tcPr>
            <w:tcW w:type="dxa" w:w="3249"/>
            <w:tcMar>
              <w:top w:w="90" w:type="dxa"/>
              <w:start w:w="100" w:type="dxa"/>
              <w:bottom w:w="90" w:type="dxa"/>
              <w:end w:w="100" w:type="dxa"/>
            </w:tcMar>
            <w:vAlign w:val="center"/>
          </w:tcPr>
          <w:p>
            <w:r>
              <w:rPr>
                <w:b/>
                <w:color w:val="122D4F"/>
              </w:rPr>
              <w:t>Agents</w:t>
            </w:r>
          </w:p>
        </w:tc>
        <w:tc>
          <w:tcPr>
            <w:tcW w:type="dxa" w:w="3249"/>
            <w:tcMar>
              <w:top w:w="90" w:type="dxa"/>
              <w:start w:w="100" w:type="dxa"/>
              <w:bottom w:w="90" w:type="dxa"/>
              <w:end w:w="100" w:type="dxa"/>
            </w:tcMar>
            <w:vAlign w:val="center"/>
          </w:tcPr>
          <w:p>
            <w:r>
              <w:t>/agents ; /agents/{id} ; /agents/{id}/portefeuille</w:t>
            </w:r>
          </w:p>
        </w:tc>
        <w:tc>
          <w:tcPr>
            <w:tcW w:type="dxa" w:w="3249"/>
            <w:tcMar>
              <w:top w:w="90" w:type="dxa"/>
              <w:start w:w="100" w:type="dxa"/>
              <w:bottom w:w="90" w:type="dxa"/>
              <w:end w:w="100" w:type="dxa"/>
            </w:tcMar>
            <w:vAlign w:val="center"/>
          </w:tcPr>
          <w:p>
            <w:r>
              <w:t>Suivre les chargés et leurs portefeuilles</w:t>
            </w:r>
          </w:p>
        </w:tc>
      </w:tr>
      <w:tr>
        <w:tc>
          <w:tcPr>
            <w:tcW w:type="dxa" w:w="3249"/>
            <w:tcMar>
              <w:top w:w="90" w:type="dxa"/>
              <w:start w:w="100" w:type="dxa"/>
              <w:bottom w:w="90" w:type="dxa"/>
              <w:end w:w="100" w:type="dxa"/>
            </w:tcMar>
            <w:vAlign w:val="center"/>
          </w:tcPr>
          <w:p>
            <w:r>
              <w:rPr>
                <w:b/>
                <w:color w:val="122D4F"/>
              </w:rPr>
              <w:t>Entreprises</w:t>
            </w:r>
          </w:p>
        </w:tc>
        <w:tc>
          <w:tcPr>
            <w:tcW w:type="dxa" w:w="3249"/>
            <w:tcMar>
              <w:top w:w="90" w:type="dxa"/>
              <w:start w:w="100" w:type="dxa"/>
              <w:bottom w:w="90" w:type="dxa"/>
              <w:end w:w="100" w:type="dxa"/>
            </w:tcMar>
            <w:vAlign w:val="center"/>
          </w:tcPr>
          <w:p>
            <w:r>
              <w:t>/entreprises ; /entreprises/{id} ; /entreprises/{id}/stats</w:t>
            </w:r>
          </w:p>
        </w:tc>
        <w:tc>
          <w:tcPr>
            <w:tcW w:type="dxa" w:w="3249"/>
            <w:tcMar>
              <w:top w:w="90" w:type="dxa"/>
              <w:start w:w="100" w:type="dxa"/>
              <w:bottom w:w="90" w:type="dxa"/>
              <w:end w:w="100" w:type="dxa"/>
            </w:tcMar>
            <w:vAlign w:val="center"/>
          </w:tcPr>
          <w:p>
            <w:r>
              <w:t>Consulter la performance des entreprises partenaires</w:t>
            </w:r>
          </w:p>
        </w:tc>
      </w:tr>
      <w:tr>
        <w:tc>
          <w:tcPr>
            <w:tcW w:type="dxa" w:w="3249"/>
            <w:tcMar>
              <w:top w:w="90" w:type="dxa"/>
              <w:start w:w="100" w:type="dxa"/>
              <w:bottom w:w="90" w:type="dxa"/>
              <w:end w:w="100" w:type="dxa"/>
            </w:tcMar>
            <w:vAlign w:val="center"/>
          </w:tcPr>
          <w:p>
            <w:r>
              <w:rPr>
                <w:b/>
                <w:color w:val="122D4F"/>
              </w:rPr>
              <w:t>Entretiens</w:t>
            </w:r>
          </w:p>
        </w:tc>
        <w:tc>
          <w:tcPr>
            <w:tcW w:type="dxa" w:w="3249"/>
            <w:tcMar>
              <w:top w:w="90" w:type="dxa"/>
              <w:start w:w="100" w:type="dxa"/>
              <w:bottom w:w="90" w:type="dxa"/>
              <w:end w:w="100" w:type="dxa"/>
            </w:tcMar>
            <w:vAlign w:val="center"/>
          </w:tcPr>
          <w:p>
            <w:r>
              <w:t>/entretiens ; /entretiens/{id} ; /entretiens/{id}/retour</w:t>
            </w:r>
          </w:p>
        </w:tc>
        <w:tc>
          <w:tcPr>
            <w:tcW w:type="dxa" w:w="3249"/>
            <w:tcMar>
              <w:top w:w="90" w:type="dxa"/>
              <w:start w:w="100" w:type="dxa"/>
              <w:bottom w:w="90" w:type="dxa"/>
              <w:end w:w="100" w:type="dxa"/>
            </w:tcMar>
            <w:vAlign w:val="center"/>
          </w:tcPr>
          <w:p>
            <w:r>
              <w:t>Planifier et clôturer les entretiens</w:t>
            </w:r>
          </w:p>
        </w:tc>
      </w:tr>
      <w:tr>
        <w:tc>
          <w:tcPr>
            <w:tcW w:type="dxa" w:w="3249"/>
            <w:tcMar>
              <w:top w:w="90" w:type="dxa"/>
              <w:start w:w="100" w:type="dxa"/>
              <w:bottom w:w="90" w:type="dxa"/>
              <w:end w:w="100" w:type="dxa"/>
            </w:tcMar>
            <w:vAlign w:val="center"/>
          </w:tcPr>
          <w:p>
            <w:r>
              <w:rPr>
                <w:b/>
                <w:color w:val="122D4F"/>
              </w:rPr>
              <w:t>Formations</w:t>
            </w:r>
          </w:p>
        </w:tc>
        <w:tc>
          <w:tcPr>
            <w:tcW w:type="dxa" w:w="3249"/>
            <w:tcMar>
              <w:top w:w="90" w:type="dxa"/>
              <w:start w:w="100" w:type="dxa"/>
              <w:bottom w:w="90" w:type="dxa"/>
              <w:end w:w="100" w:type="dxa"/>
            </w:tcMar>
            <w:vAlign w:val="center"/>
          </w:tcPr>
          <w:p>
            <w:r>
              <w:t>/formations ; /formations/sessions ; /formations/assignations</w:t>
            </w:r>
          </w:p>
        </w:tc>
        <w:tc>
          <w:tcPr>
            <w:tcW w:type="dxa" w:w="3249"/>
            <w:tcMar>
              <w:top w:w="90" w:type="dxa"/>
              <w:start w:w="100" w:type="dxa"/>
              <w:bottom w:w="90" w:type="dxa"/>
              <w:end w:w="100" w:type="dxa"/>
            </w:tcMar>
            <w:vAlign w:val="center"/>
          </w:tcPr>
          <w:p>
            <w:r>
              <w:t>Piloter l’accompagnement en formation</w:t>
            </w:r>
          </w:p>
        </w:tc>
      </w:tr>
      <w:tr>
        <w:tc>
          <w:tcPr>
            <w:tcW w:type="dxa" w:w="3249"/>
            <w:tcMar>
              <w:top w:w="90" w:type="dxa"/>
              <w:start w:w="100" w:type="dxa"/>
              <w:bottom w:w="90" w:type="dxa"/>
              <w:end w:w="100" w:type="dxa"/>
            </w:tcMar>
            <w:vAlign w:val="center"/>
          </w:tcPr>
          <w:p>
            <w:r>
              <w:rPr>
                <w:b/>
                <w:color w:val="122D4F"/>
              </w:rPr>
              <w:t>Insertions</w:t>
            </w:r>
          </w:p>
        </w:tc>
        <w:tc>
          <w:tcPr>
            <w:tcW w:type="dxa" w:w="3249"/>
            <w:tcMar>
              <w:top w:w="90" w:type="dxa"/>
              <w:start w:w="100" w:type="dxa"/>
              <w:bottom w:w="90" w:type="dxa"/>
              <w:end w:w="100" w:type="dxa"/>
            </w:tcMar>
            <w:vAlign w:val="center"/>
          </w:tcPr>
          <w:p>
            <w:r>
              <w:t>/insertions ; /insertions/{id}/confirm</w:t>
            </w:r>
          </w:p>
        </w:tc>
        <w:tc>
          <w:tcPr>
            <w:tcW w:type="dxa" w:w="3249"/>
            <w:tcMar>
              <w:top w:w="90" w:type="dxa"/>
              <w:start w:w="100" w:type="dxa"/>
              <w:bottom w:w="90" w:type="dxa"/>
              <w:end w:w="100" w:type="dxa"/>
            </w:tcMar>
            <w:vAlign w:val="center"/>
          </w:tcPr>
          <w:p>
            <w:r>
              <w:t>Valider les embauches et mettre à jour les stats</w:t>
            </w:r>
          </w:p>
        </w:tc>
      </w:tr>
      <w:tr>
        <w:tc>
          <w:tcPr>
            <w:tcW w:type="dxa" w:w="3249"/>
            <w:tcMar>
              <w:top w:w="90" w:type="dxa"/>
              <w:start w:w="100" w:type="dxa"/>
              <w:bottom w:w="90" w:type="dxa"/>
              <w:end w:w="100" w:type="dxa"/>
            </w:tcMar>
            <w:vAlign w:val="center"/>
          </w:tcPr>
          <w:p>
            <w:r>
              <w:rPr>
                <w:b/>
                <w:color w:val="122D4F"/>
              </w:rPr>
              <w:t>Pilotage</w:t>
            </w:r>
          </w:p>
        </w:tc>
        <w:tc>
          <w:tcPr>
            <w:tcW w:type="dxa" w:w="3249"/>
            <w:tcMar>
              <w:top w:w="90" w:type="dxa"/>
              <w:start w:w="100" w:type="dxa"/>
              <w:bottom w:w="90" w:type="dxa"/>
              <w:end w:w="100" w:type="dxa"/>
            </w:tcMar>
            <w:vAlign w:val="center"/>
          </w:tcPr>
          <w:p>
            <w:r>
              <w:t>/dashboard/dg ; /stats/agences ; /stats/entreprises</w:t>
            </w:r>
          </w:p>
        </w:tc>
        <w:tc>
          <w:tcPr>
            <w:tcW w:type="dxa" w:w="3249"/>
            <w:tcMar>
              <w:top w:w="90" w:type="dxa"/>
              <w:start w:w="100" w:type="dxa"/>
              <w:bottom w:w="90" w:type="dxa"/>
              <w:end w:w="100" w:type="dxa"/>
            </w:tcMar>
            <w:vAlign w:val="center"/>
          </w:tcPr>
          <w:p>
            <w:r>
              <w:t>Produire les indicateurs pour la direction</w:t>
            </w:r>
          </w:p>
        </w:tc>
      </w:tr>
      <w:tr>
        <w:tc>
          <w:tcPr>
            <w:tcW w:type="dxa" w:w="3249"/>
            <w:tcMar>
              <w:top w:w="90" w:type="dxa"/>
              <w:start w:w="100" w:type="dxa"/>
              <w:bottom w:w="90" w:type="dxa"/>
              <w:end w:w="100" w:type="dxa"/>
            </w:tcMar>
            <w:vAlign w:val="center"/>
          </w:tcPr>
          <w:p>
            <w:r>
              <w:rPr>
                <w:b/>
                <w:color w:val="122D4F"/>
              </w:rPr>
              <w:t>Audit</w:t>
            </w:r>
          </w:p>
        </w:tc>
        <w:tc>
          <w:tcPr>
            <w:tcW w:type="dxa" w:w="3249"/>
            <w:tcMar>
              <w:top w:w="90" w:type="dxa"/>
              <w:start w:w="100" w:type="dxa"/>
              <w:bottom w:w="90" w:type="dxa"/>
              <w:end w:w="100" w:type="dxa"/>
            </w:tcMar>
            <w:vAlign w:val="center"/>
          </w:tcPr>
          <w:p>
            <w:r>
              <w:t>/audit/events ; /audit/dossier/{id}</w:t>
            </w:r>
          </w:p>
        </w:tc>
        <w:tc>
          <w:tcPr>
            <w:tcW w:type="dxa" w:w="3249"/>
            <w:tcMar>
              <w:top w:w="90" w:type="dxa"/>
              <w:start w:w="100" w:type="dxa"/>
              <w:bottom w:w="90" w:type="dxa"/>
              <w:end w:w="100" w:type="dxa"/>
            </w:tcMar>
            <w:vAlign w:val="center"/>
          </w:tcPr>
          <w:p>
            <w:r>
              <w:t>Accéder au journal de preuve et de traçabilité</w:t>
            </w:r>
          </w:p>
        </w:tc>
      </w:tr>
    </w:tbl>
    <w:p>
      <w:pPr>
        <w:pStyle w:val="Heading1"/>
      </w:pPr>
      <w:r>
        <w:t>Annexe B — Base de cadrage institutionnelle et documentaire</w:t>
      </w:r>
    </w:p>
    <w:p>
      <w:r>
        <w:t>Ce cahier des charges s’appuie sur les éléments métier décrits dans les échanges de travail, enrichis par la documentation publique du PNPE et par des sources institutionnelles gabonaises consultées au 26 mars 2026. Les sources ci‑dessous ont servi uniquement à consolider le cadrage institutionnel ; les choix de conception proposés dans ce document relèvent d’une recommandation d’architecture et d’organisation backend.</w:t>
      </w:r>
    </w:p>
    <w:p>
      <w:r>
        <w:t>1) PNPE — Présentation / à propos : institution présentée comme service public de l’emploi de la République Gabonaise, créé par la loi n° 10/2022 du 05 août 2022.</w:t>
        <w:br/>
        <w:t>2) PNPE — Nos missions : mise en relation entre offres des entreprises et demandes d’emploi, accompagnement vers l’emploi et programmes associés.</w:t>
        <w:br/>
        <w:t>3) Rapports d’activités PNPE / ONE : publications montrant des activités de placement, renforcement de l’employabilité, formation des conseillers et programmes d’auto‑emploi.</w:t>
        <w:br/>
        <w:t>4) Déclaration gouvernementale relayée par la Primature : rappel des programmes d’accompagnement à l’emploi, de l’obligation faite à certaines entreprises de recruter des jeunes dans le cadre des programmes et de la volonté de corréler formation et besoins du marché.</w:t>
        <w:br/>
        <w:t>5) Actualités et publications récentes du PNPE : centralisation des offres, partenariats avec entreprises et structures publiques, et suivi de campagnes de recrutement.</w:t>
      </w:r>
    </w:p>
    <w:p>
      <w:pPr>
        <w:pStyle w:val="Heading1"/>
      </w:pPr>
      <w:r>
        <w:t>Annexe C — Cartographie recommandée des entités métier backend</w:t>
      </w:r>
    </w:p>
    <w:p>
      <w:r>
        <w:t>La structuration suivante est recommandée pour la première implémentation. Elle vise à stabiliser le domaine, à éviter les redondances et à préparer des agrégations fiables pour le dashboard DG.</w:t>
      </w:r>
    </w:p>
    <w:tbl>
      <w:tblPr>
        <w:tblW w:type="auto" w:w="0"/>
        <w:jc w:val="center"/>
        <w:tblLook w:firstColumn="1" w:firstRow="1" w:lastColumn="0" w:lastRow="0" w:noHBand="0" w:noVBand="1" w:val="04A0"/>
        <w:tblBorders>
          <w:top w:val="single" w:sz="8" w:space="0" w:color="B7C9E2"/>
          <w:left w:val="single" w:sz="8" w:space="0" w:color="B7C9E2"/>
          <w:bottom w:val="single" w:sz="8" w:space="0" w:color="B7C9E2"/>
          <w:right w:val="single" w:sz="8" w:space="0" w:color="B7C9E2"/>
          <w:insideH w:val="single" w:sz="8" w:space="0" w:color="B7C9E2"/>
          <w:insideV w:val="single" w:sz="8" w:space="0" w:color="B7C9E2"/>
        </w:tblBorders>
      </w:tblPr>
      <w:tblGrid>
        <w:gridCol w:w="3249"/>
        <w:gridCol w:w="3249"/>
        <w:gridCol w:w="3249"/>
      </w:tblGrid>
      <w:tr>
        <w:trPr>
          <w:tblHeader w:val="true"/>
        </w:trPr>
        <w:tc>
          <w:tcPr>
            <w:tcW w:type="dxa" w:w="3249"/>
            <w:shd w:fill="1F4E79"/>
            <w:tcMar>
              <w:top w:w="90" w:type="dxa"/>
              <w:start w:w="100" w:type="dxa"/>
              <w:bottom w:w="90" w:type="dxa"/>
              <w:end w:w="100" w:type="dxa"/>
            </w:tcMar>
          </w:tcPr>
          <w:p>
            <w:pPr>
              <w:jc w:val="center"/>
            </w:pPr>
            <w:r>
              <w:rPr>
                <w:b/>
                <w:color w:val="FFFFFF"/>
              </w:rPr>
              <w:t>Entité</w:t>
            </w:r>
          </w:p>
        </w:tc>
        <w:tc>
          <w:tcPr>
            <w:tcW w:type="dxa" w:w="3249"/>
            <w:shd w:fill="1F4E79"/>
            <w:tcMar>
              <w:top w:w="90" w:type="dxa"/>
              <w:start w:w="100" w:type="dxa"/>
              <w:bottom w:w="90" w:type="dxa"/>
              <w:end w:w="100" w:type="dxa"/>
            </w:tcMar>
          </w:tcPr>
          <w:p>
            <w:pPr>
              <w:jc w:val="center"/>
            </w:pPr>
            <w:r>
              <w:rPr>
                <w:b/>
                <w:color w:val="FFFFFF"/>
              </w:rPr>
              <w:t>Relations clés</w:t>
            </w:r>
          </w:p>
        </w:tc>
        <w:tc>
          <w:tcPr>
            <w:tcW w:type="dxa" w:w="3249"/>
            <w:shd w:fill="1F4E79"/>
            <w:tcMar>
              <w:top w:w="90" w:type="dxa"/>
              <w:start w:w="100" w:type="dxa"/>
              <w:bottom w:w="90" w:type="dxa"/>
              <w:end w:w="100" w:type="dxa"/>
            </w:tcMar>
          </w:tcPr>
          <w:p>
            <w:pPr>
              <w:jc w:val="center"/>
            </w:pPr>
            <w:r>
              <w:rPr>
                <w:b/>
                <w:color w:val="FFFFFF"/>
              </w:rPr>
              <w:t>Commentaire de conception</w:t>
            </w:r>
          </w:p>
        </w:tc>
      </w:tr>
      <w:tr>
        <w:tc>
          <w:tcPr>
            <w:tcW w:type="dxa" w:w="3249"/>
            <w:tcMar>
              <w:top w:w="90" w:type="dxa"/>
              <w:start w:w="100" w:type="dxa"/>
              <w:bottom w:w="90" w:type="dxa"/>
              <w:end w:w="100" w:type="dxa"/>
            </w:tcMar>
            <w:vAlign w:val="center"/>
          </w:tcPr>
          <w:p>
            <w:r>
              <w:rPr>
                <w:b/>
                <w:color w:val="122D4F"/>
              </w:rPr>
              <w:t>Demandeur</w:t>
            </w:r>
          </w:p>
        </w:tc>
        <w:tc>
          <w:tcPr>
            <w:tcW w:type="dxa" w:w="3249"/>
            <w:tcMar>
              <w:top w:w="90" w:type="dxa"/>
              <w:start w:w="100" w:type="dxa"/>
              <w:bottom w:w="90" w:type="dxa"/>
              <w:end w:w="100" w:type="dxa"/>
            </w:tcMar>
            <w:vAlign w:val="center"/>
          </w:tcPr>
          <w:p>
            <w:r>
              <w:t>Agence, Chargé, Documents, Entretiens, Formations, Insertions, Historique</w:t>
            </w:r>
          </w:p>
        </w:tc>
        <w:tc>
          <w:tcPr>
            <w:tcW w:type="dxa" w:w="3249"/>
            <w:tcMar>
              <w:top w:w="90" w:type="dxa"/>
              <w:start w:w="100" w:type="dxa"/>
              <w:bottom w:w="90" w:type="dxa"/>
              <w:end w:w="100" w:type="dxa"/>
            </w:tcMar>
            <w:vAlign w:val="center"/>
          </w:tcPr>
          <w:p>
            <w:r>
              <w:t>Entité pivot du domaine ; doit disposer d’un identifiant métier stable et d’un statut courant calculable</w:t>
            </w:r>
          </w:p>
        </w:tc>
      </w:tr>
      <w:tr>
        <w:tc>
          <w:tcPr>
            <w:tcW w:type="dxa" w:w="3249"/>
            <w:tcMar>
              <w:top w:w="90" w:type="dxa"/>
              <w:start w:w="100" w:type="dxa"/>
              <w:bottom w:w="90" w:type="dxa"/>
              <w:end w:w="100" w:type="dxa"/>
            </w:tcMar>
            <w:vAlign w:val="center"/>
          </w:tcPr>
          <w:p>
            <w:r>
              <w:rPr>
                <w:b/>
                <w:color w:val="122D4F"/>
              </w:rPr>
              <w:t>Agent / Chargé</w:t>
            </w:r>
          </w:p>
        </w:tc>
        <w:tc>
          <w:tcPr>
            <w:tcW w:type="dxa" w:w="3249"/>
            <w:tcMar>
              <w:top w:w="90" w:type="dxa"/>
              <w:start w:w="100" w:type="dxa"/>
              <w:bottom w:w="90" w:type="dxa"/>
              <w:end w:w="100" w:type="dxa"/>
            </w:tcMar>
            <w:vAlign w:val="center"/>
          </w:tcPr>
          <w:p>
            <w:r>
              <w:t>Agence, Utilisateur, Portefeuille, Objectifs, Activités</w:t>
            </w:r>
          </w:p>
        </w:tc>
        <w:tc>
          <w:tcPr>
            <w:tcW w:type="dxa" w:w="3249"/>
            <w:tcMar>
              <w:top w:w="90" w:type="dxa"/>
              <w:start w:w="100" w:type="dxa"/>
              <w:bottom w:w="90" w:type="dxa"/>
              <w:end w:w="100" w:type="dxa"/>
            </w:tcMar>
            <w:vAlign w:val="center"/>
          </w:tcPr>
          <w:p>
            <w:r>
              <w:t>Doit permettre la lecture immédiate du portefeuille et de la performance opérationnelle</w:t>
            </w:r>
          </w:p>
        </w:tc>
      </w:tr>
      <w:tr>
        <w:tc>
          <w:tcPr>
            <w:tcW w:type="dxa" w:w="3249"/>
            <w:tcMar>
              <w:top w:w="90" w:type="dxa"/>
              <w:start w:w="100" w:type="dxa"/>
              <w:bottom w:w="90" w:type="dxa"/>
              <w:end w:w="100" w:type="dxa"/>
            </w:tcMar>
            <w:vAlign w:val="center"/>
          </w:tcPr>
          <w:p>
            <w:r>
              <w:rPr>
                <w:b/>
                <w:color w:val="122D4F"/>
              </w:rPr>
              <w:t>Entreprise</w:t>
            </w:r>
          </w:p>
        </w:tc>
        <w:tc>
          <w:tcPr>
            <w:tcW w:type="dxa" w:w="3249"/>
            <w:tcMar>
              <w:top w:w="90" w:type="dxa"/>
              <w:start w:w="100" w:type="dxa"/>
              <w:bottom w:w="90" w:type="dxa"/>
              <w:end w:w="100" w:type="dxa"/>
            </w:tcMar>
            <w:vAlign w:val="center"/>
          </w:tcPr>
          <w:p>
            <w:r>
              <w:t>Contacts, Offres, Entretiens, Insertions</w:t>
            </w:r>
          </w:p>
        </w:tc>
        <w:tc>
          <w:tcPr>
            <w:tcW w:type="dxa" w:w="3249"/>
            <w:tcMar>
              <w:top w:w="90" w:type="dxa"/>
              <w:start w:w="100" w:type="dxa"/>
              <w:bottom w:w="90" w:type="dxa"/>
              <w:end w:w="100" w:type="dxa"/>
            </w:tcMar>
            <w:vAlign w:val="center"/>
          </w:tcPr>
          <w:p>
            <w:r>
              <w:t>À traiter comme acteur métier suivi, non comme annuaire passif</w:t>
            </w:r>
          </w:p>
        </w:tc>
      </w:tr>
      <w:tr>
        <w:tc>
          <w:tcPr>
            <w:tcW w:type="dxa" w:w="3249"/>
            <w:tcMar>
              <w:top w:w="90" w:type="dxa"/>
              <w:start w:w="100" w:type="dxa"/>
              <w:bottom w:w="90" w:type="dxa"/>
              <w:end w:w="100" w:type="dxa"/>
            </w:tcMar>
            <w:vAlign w:val="center"/>
          </w:tcPr>
          <w:p>
            <w:r>
              <w:rPr>
                <w:b/>
                <w:color w:val="122D4F"/>
              </w:rPr>
              <w:t>Entretien</w:t>
            </w:r>
          </w:p>
        </w:tc>
        <w:tc>
          <w:tcPr>
            <w:tcW w:type="dxa" w:w="3249"/>
            <w:tcMar>
              <w:top w:w="90" w:type="dxa"/>
              <w:start w:w="100" w:type="dxa"/>
              <w:bottom w:w="90" w:type="dxa"/>
              <w:end w:w="100" w:type="dxa"/>
            </w:tcMar>
            <w:vAlign w:val="center"/>
          </w:tcPr>
          <w:p>
            <w:r>
              <w:t>Demandeur, Entreprise, Agent, Poste, Résultat</w:t>
            </w:r>
          </w:p>
        </w:tc>
        <w:tc>
          <w:tcPr>
            <w:tcW w:type="dxa" w:w="3249"/>
            <w:tcMar>
              <w:top w:w="90" w:type="dxa"/>
              <w:start w:w="100" w:type="dxa"/>
              <w:bottom w:w="90" w:type="dxa"/>
              <w:end w:w="100" w:type="dxa"/>
            </w:tcMar>
            <w:vAlign w:val="center"/>
          </w:tcPr>
          <w:p>
            <w:r>
              <w:t>Objet métier critique pour la preuve du suivi et l’alimentation des statistiques</w:t>
            </w:r>
          </w:p>
        </w:tc>
      </w:tr>
      <w:tr>
        <w:tc>
          <w:tcPr>
            <w:tcW w:type="dxa" w:w="3249"/>
            <w:tcMar>
              <w:top w:w="90" w:type="dxa"/>
              <w:start w:w="100" w:type="dxa"/>
              <w:bottom w:w="90" w:type="dxa"/>
              <w:end w:w="100" w:type="dxa"/>
            </w:tcMar>
            <w:vAlign w:val="center"/>
          </w:tcPr>
          <w:p>
            <w:r>
              <w:rPr>
                <w:b/>
                <w:color w:val="122D4F"/>
              </w:rPr>
              <w:t>Formation / Session</w:t>
            </w:r>
          </w:p>
        </w:tc>
        <w:tc>
          <w:tcPr>
            <w:tcW w:type="dxa" w:w="3249"/>
            <w:tcMar>
              <w:top w:w="90" w:type="dxa"/>
              <w:start w:w="100" w:type="dxa"/>
              <w:bottom w:w="90" w:type="dxa"/>
              <w:end w:w="100" w:type="dxa"/>
            </w:tcMar>
            <w:vAlign w:val="center"/>
          </w:tcPr>
          <w:p>
            <w:r>
              <w:t>Catalogue, Demandeurs, Agent prescripteur</w:t>
            </w:r>
          </w:p>
        </w:tc>
        <w:tc>
          <w:tcPr>
            <w:tcW w:type="dxa" w:w="3249"/>
            <w:tcMar>
              <w:top w:w="90" w:type="dxa"/>
              <w:start w:w="100" w:type="dxa"/>
              <w:bottom w:w="90" w:type="dxa"/>
              <w:end w:w="100" w:type="dxa"/>
            </w:tcMar>
            <w:vAlign w:val="center"/>
          </w:tcPr>
          <w:p>
            <w:r>
              <w:t>Séparer la notion de catalogue et la session réellement suivie</w:t>
            </w:r>
          </w:p>
        </w:tc>
      </w:tr>
      <w:tr>
        <w:tc>
          <w:tcPr>
            <w:tcW w:type="dxa" w:w="3249"/>
            <w:tcMar>
              <w:top w:w="90" w:type="dxa"/>
              <w:start w:w="100" w:type="dxa"/>
              <w:bottom w:w="90" w:type="dxa"/>
              <w:end w:w="100" w:type="dxa"/>
            </w:tcMar>
            <w:vAlign w:val="center"/>
          </w:tcPr>
          <w:p>
            <w:r>
              <w:rPr>
                <w:b/>
                <w:color w:val="122D4F"/>
              </w:rPr>
              <w:t>Insertion</w:t>
            </w:r>
          </w:p>
        </w:tc>
        <w:tc>
          <w:tcPr>
            <w:tcW w:type="dxa" w:w="3249"/>
            <w:tcMar>
              <w:top w:w="90" w:type="dxa"/>
              <w:start w:w="100" w:type="dxa"/>
              <w:bottom w:w="90" w:type="dxa"/>
              <w:end w:w="100" w:type="dxa"/>
            </w:tcMar>
            <w:vAlign w:val="center"/>
          </w:tcPr>
          <w:p>
            <w:r>
              <w:t>Demandeur, Entreprise, Agent, Contrat</w:t>
            </w:r>
          </w:p>
        </w:tc>
        <w:tc>
          <w:tcPr>
            <w:tcW w:type="dxa" w:w="3249"/>
            <w:tcMar>
              <w:top w:w="90" w:type="dxa"/>
              <w:start w:w="100" w:type="dxa"/>
              <w:bottom w:w="90" w:type="dxa"/>
              <w:end w:w="100" w:type="dxa"/>
            </w:tcMar>
            <w:vAlign w:val="center"/>
          </w:tcPr>
          <w:p>
            <w:r>
              <w:t>Événement structuré déclenchant les mises à jour globales</w:t>
            </w:r>
          </w:p>
        </w:tc>
      </w:tr>
      <w:tr>
        <w:tc>
          <w:tcPr>
            <w:tcW w:type="dxa" w:w="3249"/>
            <w:tcMar>
              <w:top w:w="90" w:type="dxa"/>
              <w:start w:w="100" w:type="dxa"/>
              <w:bottom w:w="90" w:type="dxa"/>
              <w:end w:w="100" w:type="dxa"/>
            </w:tcMar>
            <w:vAlign w:val="center"/>
          </w:tcPr>
          <w:p>
            <w:r>
              <w:rPr>
                <w:b/>
                <w:color w:val="122D4F"/>
              </w:rPr>
              <w:t>Historique métier</w:t>
            </w:r>
          </w:p>
        </w:tc>
        <w:tc>
          <w:tcPr>
            <w:tcW w:type="dxa" w:w="3249"/>
            <w:tcMar>
              <w:top w:w="90" w:type="dxa"/>
              <w:start w:w="100" w:type="dxa"/>
              <w:bottom w:w="90" w:type="dxa"/>
              <w:end w:w="100" w:type="dxa"/>
            </w:tcMar>
            <w:vAlign w:val="center"/>
          </w:tcPr>
          <w:p>
            <w:r>
              <w:t>Toutes les entités métier majeures</w:t>
            </w:r>
          </w:p>
        </w:tc>
        <w:tc>
          <w:tcPr>
            <w:tcW w:type="dxa" w:w="3249"/>
            <w:tcMar>
              <w:top w:w="90" w:type="dxa"/>
              <w:start w:w="100" w:type="dxa"/>
              <w:bottom w:w="90" w:type="dxa"/>
              <w:end w:w="100" w:type="dxa"/>
            </w:tcMar>
            <w:vAlign w:val="center"/>
          </w:tcPr>
          <w:p>
            <w:r>
              <w:t>Doit stocker la chronologie opposable des actions métier</w:t>
            </w:r>
          </w:p>
        </w:tc>
      </w:tr>
      <w:tr>
        <w:tc>
          <w:tcPr>
            <w:tcW w:type="dxa" w:w="3249"/>
            <w:tcMar>
              <w:top w:w="90" w:type="dxa"/>
              <w:start w:w="100" w:type="dxa"/>
              <w:bottom w:w="90" w:type="dxa"/>
              <w:end w:w="100" w:type="dxa"/>
            </w:tcMar>
            <w:vAlign w:val="center"/>
          </w:tcPr>
          <w:p>
            <w:r>
              <w:rPr>
                <w:b/>
                <w:color w:val="122D4F"/>
              </w:rPr>
              <w:t>Audit sécurité</w:t>
            </w:r>
          </w:p>
        </w:tc>
        <w:tc>
          <w:tcPr>
            <w:tcW w:type="dxa" w:w="3249"/>
            <w:tcMar>
              <w:top w:w="90" w:type="dxa"/>
              <w:start w:w="100" w:type="dxa"/>
              <w:bottom w:w="90" w:type="dxa"/>
              <w:end w:w="100" w:type="dxa"/>
            </w:tcMar>
            <w:vAlign w:val="center"/>
          </w:tcPr>
          <w:p>
            <w:r>
              <w:t>Utilisateur, Authentification, Administration</w:t>
            </w:r>
          </w:p>
        </w:tc>
        <w:tc>
          <w:tcPr>
            <w:tcW w:type="dxa" w:w="3249"/>
            <w:tcMar>
              <w:top w:w="90" w:type="dxa"/>
              <w:start w:w="100" w:type="dxa"/>
              <w:bottom w:w="90" w:type="dxa"/>
              <w:end w:w="100" w:type="dxa"/>
            </w:tcMar>
            <w:vAlign w:val="center"/>
          </w:tcPr>
          <w:p>
            <w:r>
              <w:t>Séparer audit sécurité et historique métier pour garder une lecture claire</w:t>
            </w:r>
          </w:p>
        </w:tc>
      </w:tr>
    </w:tbl>
    <w:p>
      <w:pPr>
        <w:pStyle w:val="Heading1"/>
      </w:pPr>
      <w:r>
        <w:t>Annexe D — Liste courte des écrans les plus critiques pour la démo</w:t>
      </w:r>
    </w:p>
    <w:p>
      <w:pPr>
        <w:ind w:left="283"/>
      </w:pPr>
      <w:r>
        <w:rPr>
          <w:b/>
        </w:rPr>
        <w:t xml:space="preserve">• </w:t>
      </w:r>
      <w:r>
        <w:t>1) Dashboard DG avec statistiques nationales, vue agence, vue agent et vue entreprise.</w:t>
      </w:r>
    </w:p>
    <w:p>
      <w:pPr>
        <w:ind w:left="283"/>
      </w:pPr>
      <w:r>
        <w:rPr>
          <w:b/>
        </w:rPr>
        <w:t xml:space="preserve">• </w:t>
      </w:r>
      <w:r>
        <w:t>2) Fiche demandeur complète avec CV, historique, entretiens, formations et statut.</w:t>
      </w:r>
    </w:p>
    <w:p>
      <w:pPr>
        <w:ind w:left="283"/>
      </w:pPr>
      <w:r>
        <w:rPr>
          <w:b/>
        </w:rPr>
        <w:t xml:space="preserve">• </w:t>
      </w:r>
      <w:r>
        <w:t>3) Fiche agent avec portefeuille, objectifs, activité récente et insertions.</w:t>
      </w:r>
    </w:p>
    <w:p>
      <w:pPr>
        <w:ind w:left="283"/>
      </w:pPr>
      <w:r>
        <w:rPr>
          <w:b/>
        </w:rPr>
        <w:t xml:space="preserve">• </w:t>
      </w:r>
      <w:r>
        <w:t>4) Fiche entreprise avec profils envoyés, entretiens, refus et embauches.</w:t>
      </w:r>
    </w:p>
    <w:p>
      <w:pPr>
        <w:ind w:left="283"/>
      </w:pPr>
      <w:r>
        <w:rPr>
          <w:b/>
        </w:rPr>
        <w:t xml:space="preserve">• </w:t>
      </w:r>
      <w:r>
        <w:t>5) Vue de suivi post-entretien pour qualifier rapidement chaque rendez-vous.</w:t>
      </w:r>
    </w:p>
    <w:sectPr w:rsidR="00FC693F" w:rsidRPr="0006063C" w:rsidSect="00034616">
      <w:footerReference w:type="default" r:id="rId9"/>
      <w:pgSz w:w="12240" w:h="15840"/>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7"/>
      </w:rPr>
      <w:t xml:space="preserve">PNPE — Cahier des charges backend (version démo stratégique)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w:hAnsi="Aptos"/>
      <w:b/>
      <w:bCs/>
      <w:color w:val="122D4F"/>
      <w:sz w:val="30"/>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Aptos" w:hAnsi="Aptos"/>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0404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22D4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95959"/>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