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91DD2" w14:textId="77777777" w:rsidR="00126449" w:rsidRPr="00126449" w:rsidRDefault="00126449" w:rsidP="00126449">
      <w:pPr>
        <w:pStyle w:val="Heading1"/>
      </w:pPr>
      <w:bookmarkStart w:id="0" w:name="_Toc104653803"/>
      <w:r w:rsidRPr="00126449">
        <w:t>User Manual</w:t>
      </w:r>
      <w:bookmarkEnd w:id="0"/>
    </w:p>
    <w:p w14:paraId="1B09C10E" w14:textId="5E5246B4" w:rsidR="00126449" w:rsidRPr="005000EA" w:rsidRDefault="00126449" w:rsidP="00126449">
      <w:r w:rsidRPr="005000EA">
        <w:t xml:space="preserve">The following section provides a guide </w:t>
      </w:r>
      <w:r>
        <w:t>for</w:t>
      </w:r>
      <w:r w:rsidRPr="005000EA">
        <w:t xml:space="preserve"> the main product of this project</w:t>
      </w:r>
      <w:r>
        <w:t xml:space="preserve"> being t</w:t>
      </w:r>
      <w:r w:rsidRPr="005000EA">
        <w:t>he Melbourne Open Data Playground</w:t>
      </w:r>
      <w:r>
        <w:t xml:space="preserve"> site.</w:t>
      </w:r>
    </w:p>
    <w:p w14:paraId="603FFFAA" w14:textId="77777777" w:rsidR="00126449" w:rsidRDefault="00126449" w:rsidP="00126449">
      <w:pPr>
        <w:pStyle w:val="Heading2"/>
      </w:pPr>
      <w:bookmarkStart w:id="1" w:name="_Toc104653804"/>
      <w:r>
        <w:t>Home Page – Discovery Portal</w:t>
      </w:r>
      <w:bookmarkEnd w:id="1"/>
    </w:p>
    <w:p w14:paraId="3D0644AF" w14:textId="77777777" w:rsidR="00126449" w:rsidRPr="002D7252" w:rsidRDefault="00126449" w:rsidP="00126449">
      <w:pPr>
        <w:pStyle w:val="Figure"/>
      </w:pPr>
      <w:r w:rsidRPr="00387794">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1</w:t>
      </w:r>
      <w:r>
        <w:fldChar w:fldCharType="end"/>
      </w:r>
      <w:r w:rsidRPr="002D7252">
        <w:t>: Home Page - Discover</w:t>
      </w:r>
      <w:r>
        <w:t>y</w:t>
      </w:r>
      <w:r w:rsidRPr="002D7252">
        <w:t xml:space="preserve"> Portal</w:t>
      </w:r>
    </w:p>
    <w:p w14:paraId="3485B73B" w14:textId="56F767D6" w:rsidR="00126449" w:rsidRPr="005000EA" w:rsidRDefault="00E33AD1" w:rsidP="00126449">
      <w:pPr>
        <w:pStyle w:val="ListParagraph"/>
        <w:numPr>
          <w:ilvl w:val="0"/>
          <w:numId w:val="1"/>
        </w:numPr>
        <w:rPr>
          <w:rFonts w:eastAsiaTheme="minorEastAsia"/>
          <w:color w:val="2F5496" w:themeColor="accent1" w:themeShade="BF"/>
        </w:rPr>
      </w:pPr>
      <w:r w:rsidRPr="00E33AD1">
        <w:rPr>
          <w:rFonts w:eastAsiaTheme="minorEastAsia"/>
          <w:noProof/>
          <w:color w:val="2F5496" w:themeColor="accent1" w:themeShade="BF"/>
        </w:rPr>
        <w:drawing>
          <wp:inline distT="0" distB="0" distL="0" distR="0" wp14:anchorId="6C576963" wp14:editId="0715860E">
            <wp:extent cx="4701822" cy="4428461"/>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4709699" cy="4435880"/>
                    </a:xfrm>
                    <a:prstGeom prst="rect">
                      <a:avLst/>
                    </a:prstGeom>
                  </pic:spPr>
                </pic:pic>
              </a:graphicData>
            </a:graphic>
          </wp:inline>
        </w:drawing>
      </w:r>
    </w:p>
    <w:p w14:paraId="08D31B1E" w14:textId="77777777" w:rsidR="00126449" w:rsidRPr="005000EA" w:rsidRDefault="00126449" w:rsidP="00126449">
      <w:pPr>
        <w:pStyle w:val="ListParagraph"/>
        <w:numPr>
          <w:ilvl w:val="0"/>
          <w:numId w:val="1"/>
        </w:numPr>
      </w:pPr>
    </w:p>
    <w:p w14:paraId="25C408B8" w14:textId="77777777" w:rsidR="00126449" w:rsidRPr="00B71336" w:rsidRDefault="00126449" w:rsidP="00126449">
      <w:pPr>
        <w:pStyle w:val="ListParagraph"/>
        <w:numPr>
          <w:ilvl w:val="0"/>
          <w:numId w:val="1"/>
        </w:numPr>
      </w:pPr>
    </w:p>
    <w:p w14:paraId="6C8F44DF" w14:textId="77777777" w:rsidR="00126449" w:rsidRDefault="00126449" w:rsidP="00126449">
      <w:r w:rsidRPr="005000EA">
        <w:t>The Melbourne Open Data Playground’s home page acts as a discovery portal. Showcasing a dynamic, user-friendly interface, this portal allows easy access to datasets, use-cases and project information.</w:t>
      </w:r>
    </w:p>
    <w:p w14:paraId="4F520A89" w14:textId="77777777" w:rsidR="00126449" w:rsidRPr="005000EA" w:rsidRDefault="00126449" w:rsidP="00126449"/>
    <w:p w14:paraId="196AF66D" w14:textId="43461F07" w:rsidR="00126449" w:rsidRPr="005000EA" w:rsidRDefault="00126449" w:rsidP="00126449">
      <w:r w:rsidRPr="005000EA">
        <w:lastRenderedPageBreak/>
        <w:t>In the top left of the page, users can see our project logo. Also visible are tabs to Home, About, FAQ and Contact pages. In the top right users can access the City of Melbourne Open Data portal and the project’s public GitHub which hosts the developed pyt</w:t>
      </w:r>
      <w:r>
        <w:t>h</w:t>
      </w:r>
      <w:r w:rsidRPr="005000EA">
        <w:t xml:space="preserve">on notebooks from this project. </w:t>
      </w:r>
    </w:p>
    <w:p w14:paraId="377C601B" w14:textId="77777777" w:rsidR="00126449" w:rsidRDefault="00126449" w:rsidP="00126449">
      <w:r w:rsidRPr="005000EA">
        <w:t xml:space="preserve">Central to the discovery portal is a newly enhanced search bar. Users can perform keyword searches on both use cases that are integrated onto the portal as well as </w:t>
      </w:r>
      <w:r>
        <w:t>direct</w:t>
      </w:r>
      <w:r w:rsidRPr="005000EA">
        <w:t xml:space="preserve"> access over 200 datasets from Melbourne Open Data</w:t>
      </w:r>
      <w:r>
        <w:t>.</w:t>
      </w:r>
    </w:p>
    <w:p w14:paraId="397FC19A" w14:textId="77777777" w:rsidR="00126449" w:rsidRPr="005000EA" w:rsidRDefault="00126449" w:rsidP="00126449"/>
    <w:p w14:paraId="753309F5" w14:textId="77777777" w:rsidR="00126449" w:rsidRPr="005000EA" w:rsidRDefault="00126449" w:rsidP="00126449">
      <w:pPr>
        <w:rPr>
          <w:rFonts w:ascii="Calibri" w:hAnsi="Calibri" w:cs="Calibri"/>
        </w:rPr>
      </w:pPr>
      <w:r w:rsidRPr="005000EA">
        <w:t xml:space="preserve">The middle of the discovery portal is dominated by the project’s use cases. These tiles provide a general overview of the use cases. </w:t>
      </w:r>
    </w:p>
    <w:p w14:paraId="4211F41D" w14:textId="77777777" w:rsidR="00126449" w:rsidRDefault="00126449" w:rsidP="00126449"/>
    <w:p w14:paraId="45CEDCF8" w14:textId="77777777" w:rsidR="00126449" w:rsidRDefault="00126449" w:rsidP="00126449">
      <w:pPr>
        <w:pStyle w:val="Heading2"/>
      </w:pPr>
      <w:bookmarkStart w:id="2" w:name="_Toc104653805"/>
      <w:r>
        <w:t>Example Use Case page</w:t>
      </w:r>
      <w:bookmarkEnd w:id="2"/>
    </w:p>
    <w:p w14:paraId="2BFFE72B" w14:textId="77777777" w:rsidR="00126449" w:rsidRPr="00F144E7" w:rsidRDefault="00126449" w:rsidP="00126449"/>
    <w:p w14:paraId="135424A1" w14:textId="77777777" w:rsidR="00126449" w:rsidRPr="00387794" w:rsidRDefault="00126449" w:rsidP="00126449">
      <w:pPr>
        <w:pStyle w:val="Figure"/>
      </w:pPr>
      <w:r w:rsidRPr="00387794">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2</w:t>
      </w:r>
      <w:r>
        <w:fldChar w:fldCharType="end"/>
      </w:r>
      <w:r w:rsidRPr="00387794">
        <w:t xml:space="preserve"> Use case example</w:t>
      </w:r>
    </w:p>
    <w:p w14:paraId="1E0DFD52" w14:textId="77777777" w:rsidR="00126449" w:rsidRDefault="00126449" w:rsidP="00126449">
      <w:pPr>
        <w:rPr>
          <w:rFonts w:ascii="Calibri" w:hAnsi="Calibri" w:cs="Calibri"/>
        </w:rPr>
      </w:pPr>
      <w:r>
        <w:rPr>
          <w:noProof/>
        </w:rPr>
        <w:drawing>
          <wp:inline distT="0" distB="0" distL="0" distR="0" wp14:anchorId="4E044853" wp14:editId="15577C1C">
            <wp:extent cx="5727700" cy="2720888"/>
            <wp:effectExtent l="0" t="0" r="635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2720888"/>
                    </a:xfrm>
                    <a:prstGeom prst="rect">
                      <a:avLst/>
                    </a:prstGeom>
                  </pic:spPr>
                </pic:pic>
              </a:graphicData>
            </a:graphic>
          </wp:inline>
        </w:drawing>
      </w:r>
    </w:p>
    <w:p w14:paraId="19BBFB8C" w14:textId="77777777" w:rsidR="00126449" w:rsidRDefault="00126449" w:rsidP="00126449"/>
    <w:p w14:paraId="5BADEBA5" w14:textId="77777777" w:rsidR="00126449" w:rsidRDefault="00126449" w:rsidP="00126449"/>
    <w:p w14:paraId="3A360537" w14:textId="77777777" w:rsidR="00126449" w:rsidRDefault="00126449" w:rsidP="00126449">
      <w:r>
        <w:t>U</w:t>
      </w:r>
      <w:r w:rsidRPr="005000EA">
        <w:t xml:space="preserve">sers can access </w:t>
      </w:r>
      <w:r>
        <w:t xml:space="preserve">these </w:t>
      </w:r>
      <w:r w:rsidRPr="005000EA">
        <w:t>examples by clicking on the tile</w:t>
      </w:r>
      <w:r>
        <w:t xml:space="preserve"> which</w:t>
      </w:r>
      <w:r w:rsidRPr="005000EA">
        <w:t xml:space="preserve"> will take </w:t>
      </w:r>
      <w:r>
        <w:t>them</w:t>
      </w:r>
      <w:r w:rsidRPr="005000EA">
        <w:t xml:space="preserve"> to the corresponding </w:t>
      </w:r>
      <w:r>
        <w:t xml:space="preserve">detailed </w:t>
      </w:r>
      <w:r w:rsidRPr="005000EA">
        <w:t xml:space="preserve">use case page. </w:t>
      </w:r>
    </w:p>
    <w:p w14:paraId="4572D484" w14:textId="77777777" w:rsidR="00126449" w:rsidRPr="005000EA" w:rsidRDefault="00126449" w:rsidP="00126449"/>
    <w:p w14:paraId="614F9502" w14:textId="77777777" w:rsidR="00126449" w:rsidRDefault="00126449" w:rsidP="00126449">
      <w:r w:rsidRPr="005000EA">
        <w:lastRenderedPageBreak/>
        <w:t xml:space="preserve">Consistent formatting, styling and integration frameworks provide the user with uniform toolkits to explore. This uniformity allows the user to easily identify the structure of the toolkits and aids in the learning experience. </w:t>
      </w:r>
    </w:p>
    <w:p w14:paraId="45144B63" w14:textId="77777777" w:rsidR="00126449" w:rsidRPr="005000EA" w:rsidRDefault="00126449" w:rsidP="00126449"/>
    <w:p w14:paraId="369CF0C1" w14:textId="77777777" w:rsidR="00126449" w:rsidRDefault="00126449" w:rsidP="00126449">
      <w:r w:rsidRPr="005000EA">
        <w:t xml:space="preserve">The new format provides an </w:t>
      </w:r>
      <w:r>
        <w:t>improved</w:t>
      </w:r>
      <w:r w:rsidRPr="005000EA">
        <w:t xml:space="preserve"> educational experience. The adaption of a content hierarchy provides helpful information to the user and allows them to make an informed choice about which toolkit to explore regarding the business scenario, level of difficulty, estimated duration and pre-requisite skills needed to get the most out of the learning</w:t>
      </w:r>
      <w:r>
        <w:t xml:space="preserve"> e</w:t>
      </w:r>
      <w:r w:rsidRPr="005000EA">
        <w:t xml:space="preserve">xperience. </w:t>
      </w:r>
    </w:p>
    <w:p w14:paraId="3DCCE325" w14:textId="77777777" w:rsidR="00126449" w:rsidRPr="005000EA" w:rsidRDefault="00126449" w:rsidP="00126449"/>
    <w:p w14:paraId="7832E3C5" w14:textId="77777777" w:rsidR="00126449" w:rsidRDefault="00126449" w:rsidP="00126449">
      <w:r w:rsidRPr="005000EA">
        <w:t>This is followed by a step</w:t>
      </w:r>
      <w:r w:rsidRPr="003C7898">
        <w:t>-by-step guide to exploring and understanding the code and data that</w:t>
      </w:r>
      <w:r w:rsidRPr="005000EA">
        <w:t xml:space="preserve"> is being developed. Additionally, interactive widgets are embedded in the use-cases, where possible, to better demonstrate the example scenario. </w:t>
      </w:r>
    </w:p>
    <w:p w14:paraId="5358FAE5" w14:textId="77777777" w:rsidR="00126449" w:rsidRDefault="00126449" w:rsidP="00126449"/>
    <w:p w14:paraId="179E06A0" w14:textId="77777777" w:rsidR="00126449" w:rsidRPr="00387794" w:rsidRDefault="00126449" w:rsidP="00126449">
      <w:pPr>
        <w:pStyle w:val="Figure"/>
      </w:pPr>
      <w:r w:rsidRPr="00387794">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3</w:t>
      </w:r>
      <w:r>
        <w:fldChar w:fldCharType="end"/>
      </w:r>
      <w:r w:rsidRPr="00387794">
        <w:t xml:space="preserve"> Use case interactivity</w:t>
      </w:r>
      <w:r>
        <w:t xml:space="preserve"> example from the New Business Location use case</w:t>
      </w:r>
    </w:p>
    <w:p w14:paraId="2470DD07" w14:textId="011CE1A7" w:rsidR="00126449" w:rsidRDefault="00C600DF" w:rsidP="00126449">
      <w:r w:rsidRPr="00C600DF">
        <w:drawing>
          <wp:inline distT="0" distB="0" distL="0" distR="0" wp14:anchorId="4C0979D7" wp14:editId="47ABB1B3">
            <wp:extent cx="4746977" cy="3995072"/>
            <wp:effectExtent l="0" t="0" r="0" b="5715"/>
            <wp:docPr id="20" name="Picture 20"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2"/>
                    <a:stretch>
                      <a:fillRect/>
                    </a:stretch>
                  </pic:blipFill>
                  <pic:spPr>
                    <a:xfrm>
                      <a:off x="0" y="0"/>
                      <a:ext cx="4750218" cy="3997800"/>
                    </a:xfrm>
                    <a:prstGeom prst="rect">
                      <a:avLst/>
                    </a:prstGeom>
                  </pic:spPr>
                </pic:pic>
              </a:graphicData>
            </a:graphic>
          </wp:inline>
        </w:drawing>
      </w:r>
    </w:p>
    <w:p w14:paraId="18DC122A" w14:textId="77777777" w:rsidR="00126449" w:rsidRDefault="00126449" w:rsidP="00126449">
      <w:pPr>
        <w:pStyle w:val="Heading2"/>
      </w:pPr>
      <w:bookmarkStart w:id="3" w:name="_Toc104653806"/>
      <w:r>
        <w:lastRenderedPageBreak/>
        <w:t xml:space="preserve">More </w:t>
      </w:r>
      <w:r w:rsidRPr="005000EA">
        <w:t>examples</w:t>
      </w:r>
      <w:bookmarkEnd w:id="3"/>
    </w:p>
    <w:p w14:paraId="4DB186B6" w14:textId="1E4739EE" w:rsidR="00126449" w:rsidRDefault="00C52210" w:rsidP="00126449">
      <w:r>
        <w:t xml:space="preserve">This trimester (T1/2022) three new use cases were developed and one was implemented within the live site. </w:t>
      </w:r>
      <w:r w:rsidR="00126449" w:rsidRPr="005000EA">
        <w:t xml:space="preserve">Over </w:t>
      </w:r>
      <w:r>
        <w:t>previous</w:t>
      </w:r>
      <w:r w:rsidR="00126449" w:rsidRPr="005000EA">
        <w:t xml:space="preserve"> </w:t>
      </w:r>
      <w:r w:rsidR="00126449">
        <w:t>tri</w:t>
      </w:r>
      <w:r w:rsidR="00126449" w:rsidRPr="005000EA">
        <w:t>mester</w:t>
      </w:r>
      <w:r>
        <w:t>s</w:t>
      </w:r>
      <w:r w:rsidR="00126449" w:rsidRPr="005000EA">
        <w:t xml:space="preserve"> (T</w:t>
      </w:r>
      <w:r w:rsidR="00E33AD1">
        <w:t>1</w:t>
      </w:r>
      <w:r w:rsidR="00126449" w:rsidRPr="005000EA">
        <w:t xml:space="preserve">/2021) we have developed three use-cases in addition to a </w:t>
      </w:r>
      <w:r w:rsidR="00126449">
        <w:t xml:space="preserve">prior </w:t>
      </w:r>
      <w:r w:rsidR="00126449" w:rsidRPr="005000EA">
        <w:t xml:space="preserve">use case developed in </w:t>
      </w:r>
      <w:r w:rsidR="00126449">
        <w:t>the previous trimester (T</w:t>
      </w:r>
      <w:r w:rsidR="00126449" w:rsidRPr="005000EA">
        <w:t>2</w:t>
      </w:r>
      <w:r w:rsidR="00126449">
        <w:t>/</w:t>
      </w:r>
      <w:r w:rsidR="00126449" w:rsidRPr="005000EA">
        <w:t>2021</w:t>
      </w:r>
      <w:r w:rsidR="00126449">
        <w:t>)</w:t>
      </w:r>
      <w:r w:rsidR="00126449" w:rsidRPr="005000EA">
        <w:t xml:space="preserve">. Use case tiles, which appear on the home page of the discovery portal, provide users with a brief description of the use case, as well as an assumed difficulty level and the types of technology involved in the use-case. </w:t>
      </w:r>
      <w:r w:rsidR="00126449">
        <w:t>Metadata tags appear along the bottom of each use case tile and aid in the search for relevant use cases.</w:t>
      </w:r>
    </w:p>
    <w:p w14:paraId="2E89C976" w14:textId="77777777" w:rsidR="00126449" w:rsidRDefault="00126449" w:rsidP="00126449"/>
    <w:p w14:paraId="7702896F" w14:textId="77777777" w:rsidR="00126449" w:rsidRPr="002D7252" w:rsidRDefault="00126449" w:rsidP="00126449">
      <w:pPr>
        <w:pStyle w:val="Figure"/>
      </w:pPr>
      <w:r w:rsidRPr="002D7252">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Pr>
          <w:noProof/>
        </w:rPr>
        <w:t>4</w:t>
      </w:r>
      <w:r>
        <w:fldChar w:fldCharType="end"/>
      </w:r>
      <w:r w:rsidRPr="002D7252">
        <w:t xml:space="preserve"> Use case tiles - Home Page</w:t>
      </w:r>
    </w:p>
    <w:p w14:paraId="375F51CC" w14:textId="0722B106" w:rsidR="00126449" w:rsidRDefault="00C52210" w:rsidP="00126449">
      <w:r w:rsidRPr="00C52210">
        <w:rPr>
          <w:noProof/>
        </w:rPr>
        <w:drawing>
          <wp:inline distT="0" distB="0" distL="0" distR="0" wp14:anchorId="58EDF63D" wp14:editId="02454B4B">
            <wp:extent cx="4896555" cy="4199198"/>
            <wp:effectExtent l="0" t="0" r="0"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pic:nvPicPr>
                  <pic:blipFill>
                    <a:blip r:embed="rId13"/>
                    <a:stretch>
                      <a:fillRect/>
                    </a:stretch>
                  </pic:blipFill>
                  <pic:spPr>
                    <a:xfrm>
                      <a:off x="0" y="0"/>
                      <a:ext cx="4907365" cy="4208468"/>
                    </a:xfrm>
                    <a:prstGeom prst="rect">
                      <a:avLst/>
                    </a:prstGeom>
                  </pic:spPr>
                </pic:pic>
              </a:graphicData>
            </a:graphic>
          </wp:inline>
        </w:drawing>
      </w:r>
    </w:p>
    <w:p w14:paraId="7F17B69F" w14:textId="77777777" w:rsidR="00804745" w:rsidRDefault="00804745"/>
    <w:sectPr w:rsidR="00804745" w:rsidSect="00470334">
      <w:headerReference w:type="default" r:id="rId14"/>
      <w:footerReference w:type="default" r:id="rId15"/>
      <w:pgSz w:w="11906" w:h="16838" w:code="9"/>
      <w:pgMar w:top="1985" w:right="1134" w:bottom="1985"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95164" w14:textId="77777777" w:rsidR="00470334" w:rsidRDefault="00470334" w:rsidP="00470334">
      <w:pPr>
        <w:spacing w:line="240" w:lineRule="auto"/>
      </w:pPr>
      <w:r>
        <w:separator/>
      </w:r>
    </w:p>
  </w:endnote>
  <w:endnote w:type="continuationSeparator" w:id="0">
    <w:p w14:paraId="7FCE643F" w14:textId="77777777" w:rsidR="00470334" w:rsidRDefault="00470334" w:rsidP="004703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738734"/>
      <w:docPartObj>
        <w:docPartGallery w:val="Page Numbers (Bottom of Page)"/>
        <w:docPartUnique/>
      </w:docPartObj>
    </w:sdtPr>
    <w:sdtContent>
      <w:sdt>
        <w:sdtPr>
          <w:id w:val="-1769616900"/>
          <w:docPartObj>
            <w:docPartGallery w:val="Page Numbers (Top of Page)"/>
            <w:docPartUnique/>
          </w:docPartObj>
        </w:sdtPr>
        <w:sdtContent>
          <w:p w14:paraId="6B5BEF25" w14:textId="57D37DE7" w:rsidR="00470334" w:rsidRDefault="0047033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9EDDCFB" w14:textId="77777777" w:rsidR="00470334" w:rsidRDefault="00470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80C7C" w14:textId="77777777" w:rsidR="00470334" w:rsidRDefault="00470334" w:rsidP="00470334">
      <w:pPr>
        <w:spacing w:line="240" w:lineRule="auto"/>
      </w:pPr>
      <w:r>
        <w:separator/>
      </w:r>
    </w:p>
  </w:footnote>
  <w:footnote w:type="continuationSeparator" w:id="0">
    <w:p w14:paraId="21613B09" w14:textId="77777777" w:rsidR="00470334" w:rsidRDefault="00470334" w:rsidP="004703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9C75D" w14:textId="3452F653" w:rsidR="00470334" w:rsidRDefault="00470334">
    <w:pPr>
      <w:pStyle w:val="Header"/>
    </w:pPr>
    <w:r>
      <w:rPr>
        <w:noProof/>
      </w:rPr>
      <w:drawing>
        <wp:inline distT="0" distB="0" distL="0" distR="0" wp14:anchorId="6DC09D80" wp14:editId="0242FD70">
          <wp:extent cx="6115755" cy="6746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7411" cy="6869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13698"/>
    <w:multiLevelType w:val="multilevel"/>
    <w:tmpl w:val="C4CA16CE"/>
    <w:lvl w:ilvl="0">
      <w:start w:val="1"/>
      <w:numFmt w:val="decimal"/>
      <w:lvlText w:val="%1."/>
      <w:lvlJc w:val="left"/>
      <w:pPr>
        <w:ind w:left="360" w:hanging="360"/>
      </w:pPr>
      <w:rPr>
        <w:rFonts w:asciiTheme="majorBidi" w:hAnsiTheme="majorBidi" w:cstheme="majorBidi" w:hint="default"/>
      </w:rPr>
    </w:lvl>
    <w:lvl w:ilvl="1">
      <w:start w:val="1"/>
      <w:numFmt w:val="decimal"/>
      <w:lvlText w:val="%1.%2."/>
      <w:lvlJc w:val="left"/>
      <w:pPr>
        <w:ind w:left="858" w:hanging="432"/>
      </w:pPr>
      <w:rPr>
        <w:rFonts w:hint="default"/>
      </w:rPr>
    </w:lvl>
    <w:lvl w:ilvl="2">
      <w:start w:val="1"/>
      <w:numFmt w:val="decimal"/>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5DB47CC7"/>
    <w:multiLevelType w:val="hybridMultilevel"/>
    <w:tmpl w:val="5D364920"/>
    <w:lvl w:ilvl="0" w:tplc="D5F84442">
      <w:numFmt w:val="none"/>
      <w:lvlText w:val=""/>
      <w:lvlJc w:val="left"/>
      <w:pPr>
        <w:tabs>
          <w:tab w:val="num" w:pos="360"/>
        </w:tabs>
      </w:pPr>
    </w:lvl>
    <w:lvl w:ilvl="1" w:tplc="F5E4BBB0">
      <w:start w:val="1"/>
      <w:numFmt w:val="lowerLetter"/>
      <w:lvlText w:val="%2."/>
      <w:lvlJc w:val="left"/>
      <w:pPr>
        <w:ind w:left="1440" w:hanging="360"/>
      </w:pPr>
    </w:lvl>
    <w:lvl w:ilvl="2" w:tplc="DEE813EA">
      <w:start w:val="1"/>
      <w:numFmt w:val="lowerRoman"/>
      <w:lvlText w:val="%3."/>
      <w:lvlJc w:val="right"/>
      <w:pPr>
        <w:ind w:left="2160" w:hanging="180"/>
      </w:pPr>
    </w:lvl>
    <w:lvl w:ilvl="3" w:tplc="725EEABA">
      <w:start w:val="1"/>
      <w:numFmt w:val="decimal"/>
      <w:lvlText w:val="%4."/>
      <w:lvlJc w:val="left"/>
      <w:pPr>
        <w:ind w:left="2880" w:hanging="360"/>
      </w:pPr>
    </w:lvl>
    <w:lvl w:ilvl="4" w:tplc="AA4A5642">
      <w:start w:val="1"/>
      <w:numFmt w:val="lowerLetter"/>
      <w:lvlText w:val="%5."/>
      <w:lvlJc w:val="left"/>
      <w:pPr>
        <w:ind w:left="3600" w:hanging="360"/>
      </w:pPr>
    </w:lvl>
    <w:lvl w:ilvl="5" w:tplc="7EDE9F7C">
      <w:start w:val="1"/>
      <w:numFmt w:val="lowerRoman"/>
      <w:lvlText w:val="%6."/>
      <w:lvlJc w:val="right"/>
      <w:pPr>
        <w:ind w:left="4320" w:hanging="180"/>
      </w:pPr>
    </w:lvl>
    <w:lvl w:ilvl="6" w:tplc="F11A1922">
      <w:start w:val="1"/>
      <w:numFmt w:val="decimal"/>
      <w:lvlText w:val="%7."/>
      <w:lvlJc w:val="left"/>
      <w:pPr>
        <w:ind w:left="5040" w:hanging="360"/>
      </w:pPr>
    </w:lvl>
    <w:lvl w:ilvl="7" w:tplc="9CDE86E0">
      <w:start w:val="1"/>
      <w:numFmt w:val="lowerLetter"/>
      <w:lvlText w:val="%8."/>
      <w:lvlJc w:val="left"/>
      <w:pPr>
        <w:ind w:left="5760" w:hanging="360"/>
      </w:pPr>
    </w:lvl>
    <w:lvl w:ilvl="8" w:tplc="B784BAB6">
      <w:start w:val="1"/>
      <w:numFmt w:val="lowerRoman"/>
      <w:lvlText w:val="%9."/>
      <w:lvlJc w:val="right"/>
      <w:pPr>
        <w:ind w:left="6480" w:hanging="180"/>
      </w:pPr>
    </w:lvl>
  </w:abstractNum>
  <w:num w:numId="1" w16cid:durableId="2107070178">
    <w:abstractNumId w:val="1"/>
  </w:num>
  <w:num w:numId="2" w16cid:durableId="1485659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449"/>
    <w:rsid w:val="00126449"/>
    <w:rsid w:val="00470334"/>
    <w:rsid w:val="007C6C22"/>
    <w:rsid w:val="00804745"/>
    <w:rsid w:val="00AF479A"/>
    <w:rsid w:val="00C52210"/>
    <w:rsid w:val="00C600DF"/>
    <w:rsid w:val="00E33AD1"/>
    <w:rsid w:val="00EF39AF"/>
    <w:rsid w:val="00F634BF"/>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D2130"/>
  <w15:chartTrackingRefBased/>
  <w15:docId w15:val="{811C4B8F-6F13-4D06-8642-57E6C34B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Calibri Light"/>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449"/>
    <w:pPr>
      <w:spacing w:after="0" w:line="360" w:lineRule="auto"/>
      <w:jc w:val="both"/>
    </w:pPr>
    <w:rPr>
      <w:rFonts w:ascii="Times New Roman" w:eastAsia="Calibri" w:hAnsi="Times New Roman" w:cs="Times New Roman"/>
      <w:sz w:val="24"/>
      <w:szCs w:val="24"/>
      <w:lang w:eastAsia="en-US"/>
    </w:rPr>
  </w:style>
  <w:style w:type="paragraph" w:styleId="Heading1">
    <w:name w:val="heading 1"/>
    <w:basedOn w:val="Normal"/>
    <w:next w:val="Normal"/>
    <w:link w:val="Heading1Char"/>
    <w:uiPriority w:val="9"/>
    <w:qFormat/>
    <w:rsid w:val="007C6C22"/>
    <w:pPr>
      <w:keepNext/>
      <w:keepLines/>
      <w:spacing w:before="24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7C6C22"/>
    <w:pPr>
      <w:keepNext/>
      <w:keepLines/>
      <w:spacing w:before="40"/>
      <w:outlineLvl w:val="1"/>
    </w:pPr>
    <w:rPr>
      <w:rFonts w:eastAsiaTheme="majorEastAsia" w:cstheme="majorBidi"/>
      <w:color w:val="2A4B86"/>
      <w:sz w:val="26"/>
      <w:szCs w:val="26"/>
    </w:rPr>
  </w:style>
  <w:style w:type="paragraph" w:styleId="Heading3">
    <w:name w:val="heading 3"/>
    <w:basedOn w:val="Heading1"/>
    <w:next w:val="Normal"/>
    <w:link w:val="Heading3Char"/>
    <w:uiPriority w:val="9"/>
    <w:unhideWhenUsed/>
    <w:qFormat/>
    <w:rsid w:val="00126449"/>
    <w:pPr>
      <w:ind w:left="929" w:hanging="504"/>
      <w:outlineLvl w:val="2"/>
    </w:pPr>
    <w:rPr>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List">
    <w:name w:val="Reference List"/>
    <w:basedOn w:val="Normal"/>
    <w:link w:val="ReferenceListChar"/>
    <w:autoRedefine/>
    <w:qFormat/>
    <w:rsid w:val="00AF479A"/>
    <w:pPr>
      <w:ind w:left="720" w:hanging="720"/>
    </w:pPr>
  </w:style>
  <w:style w:type="paragraph" w:styleId="ListParagraph">
    <w:name w:val="List Paragraph"/>
    <w:basedOn w:val="Normal"/>
    <w:uiPriority w:val="34"/>
    <w:qFormat/>
    <w:rsid w:val="00EF39AF"/>
    <w:pPr>
      <w:ind w:left="720"/>
      <w:contextualSpacing/>
    </w:pPr>
  </w:style>
  <w:style w:type="character" w:customStyle="1" w:styleId="Heading1Char">
    <w:name w:val="Heading 1 Char"/>
    <w:basedOn w:val="DefaultParagraphFont"/>
    <w:link w:val="Heading1"/>
    <w:uiPriority w:val="9"/>
    <w:rsid w:val="007C6C22"/>
    <w:rPr>
      <w:rFonts w:eastAsiaTheme="majorEastAsia" w:cstheme="majorBidi"/>
      <w:color w:val="1F3864" w:themeColor="accent1" w:themeShade="80"/>
      <w:sz w:val="32"/>
      <w:szCs w:val="32"/>
    </w:rPr>
  </w:style>
  <w:style w:type="character" w:customStyle="1" w:styleId="Heading2Char">
    <w:name w:val="Heading 2 Char"/>
    <w:basedOn w:val="DefaultParagraphFont"/>
    <w:link w:val="Heading2"/>
    <w:uiPriority w:val="9"/>
    <w:rsid w:val="007C6C22"/>
    <w:rPr>
      <w:rFonts w:eastAsiaTheme="majorEastAsia" w:cstheme="majorBidi"/>
      <w:color w:val="2A4B86"/>
      <w:sz w:val="26"/>
      <w:szCs w:val="26"/>
    </w:rPr>
  </w:style>
  <w:style w:type="character" w:customStyle="1" w:styleId="ReferenceListChar">
    <w:name w:val="Reference List Char"/>
    <w:basedOn w:val="DefaultParagraphFont"/>
    <w:link w:val="ReferenceList"/>
    <w:rsid w:val="00AF479A"/>
    <w:rPr>
      <w:sz w:val="24"/>
      <w:szCs w:val="24"/>
    </w:rPr>
  </w:style>
  <w:style w:type="character" w:customStyle="1" w:styleId="Heading3Char">
    <w:name w:val="Heading 3 Char"/>
    <w:basedOn w:val="DefaultParagraphFont"/>
    <w:link w:val="Heading3"/>
    <w:uiPriority w:val="9"/>
    <w:rsid w:val="00126449"/>
    <w:rPr>
      <w:rFonts w:ascii="Times New Roman" w:eastAsiaTheme="majorEastAsia" w:hAnsi="Times New Roman" w:cstheme="majorBidi"/>
      <w:color w:val="2F5496" w:themeColor="accent1" w:themeShade="BF"/>
      <w:sz w:val="28"/>
      <w:szCs w:val="28"/>
      <w:lang w:eastAsia="en-US"/>
    </w:rPr>
  </w:style>
  <w:style w:type="character" w:styleId="IntenseEmphasis">
    <w:name w:val="Intense Emphasis"/>
    <w:basedOn w:val="DefaultParagraphFont"/>
    <w:uiPriority w:val="21"/>
    <w:qFormat/>
    <w:rsid w:val="00126449"/>
    <w:rPr>
      <w:i/>
      <w:iCs/>
      <w:color w:val="4472C4" w:themeColor="accent1"/>
    </w:rPr>
  </w:style>
  <w:style w:type="paragraph" w:customStyle="1" w:styleId="Figure">
    <w:name w:val="Figure"/>
    <w:basedOn w:val="Caption"/>
    <w:link w:val="FigureChar"/>
    <w:qFormat/>
    <w:rsid w:val="00126449"/>
    <w:pPr>
      <w:spacing w:line="360" w:lineRule="auto"/>
    </w:pPr>
  </w:style>
  <w:style w:type="character" w:customStyle="1" w:styleId="FigureChar">
    <w:name w:val="Figure Char"/>
    <w:basedOn w:val="DefaultParagraphFont"/>
    <w:link w:val="Figure"/>
    <w:rsid w:val="00126449"/>
    <w:rPr>
      <w:rFonts w:ascii="Times New Roman" w:eastAsia="Calibri" w:hAnsi="Times New Roman" w:cs="Times New Roman"/>
      <w:i/>
      <w:iCs/>
      <w:color w:val="44546A" w:themeColor="text2"/>
      <w:sz w:val="18"/>
      <w:szCs w:val="18"/>
      <w:lang w:eastAsia="en-US"/>
    </w:rPr>
  </w:style>
  <w:style w:type="paragraph" w:styleId="Caption">
    <w:name w:val="caption"/>
    <w:basedOn w:val="Normal"/>
    <w:next w:val="Normal"/>
    <w:uiPriority w:val="35"/>
    <w:semiHidden/>
    <w:unhideWhenUsed/>
    <w:qFormat/>
    <w:rsid w:val="0012644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70334"/>
    <w:pPr>
      <w:tabs>
        <w:tab w:val="center" w:pos="4513"/>
        <w:tab w:val="right" w:pos="9026"/>
      </w:tabs>
      <w:spacing w:line="240" w:lineRule="auto"/>
    </w:pPr>
  </w:style>
  <w:style w:type="character" w:customStyle="1" w:styleId="HeaderChar">
    <w:name w:val="Header Char"/>
    <w:basedOn w:val="DefaultParagraphFont"/>
    <w:link w:val="Header"/>
    <w:uiPriority w:val="99"/>
    <w:rsid w:val="00470334"/>
    <w:rPr>
      <w:rFonts w:ascii="Times New Roman" w:eastAsia="Calibri" w:hAnsi="Times New Roman" w:cs="Times New Roman"/>
      <w:sz w:val="24"/>
      <w:szCs w:val="24"/>
      <w:lang w:eastAsia="en-US"/>
    </w:rPr>
  </w:style>
  <w:style w:type="paragraph" w:styleId="Footer">
    <w:name w:val="footer"/>
    <w:basedOn w:val="Normal"/>
    <w:link w:val="FooterChar"/>
    <w:uiPriority w:val="99"/>
    <w:unhideWhenUsed/>
    <w:rsid w:val="00470334"/>
    <w:pPr>
      <w:tabs>
        <w:tab w:val="center" w:pos="4513"/>
        <w:tab w:val="right" w:pos="9026"/>
      </w:tabs>
      <w:spacing w:line="240" w:lineRule="auto"/>
    </w:pPr>
  </w:style>
  <w:style w:type="character" w:customStyle="1" w:styleId="FooterChar">
    <w:name w:val="Footer Char"/>
    <w:basedOn w:val="DefaultParagraphFont"/>
    <w:link w:val="Footer"/>
    <w:uiPriority w:val="99"/>
    <w:rsid w:val="00470334"/>
    <w:rPr>
      <w:rFonts w:ascii="Times New Roman" w:eastAsia="Calibri"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5f2b74b-eff9-4a36-9581-a794ddf54f1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0CC4352A3AD1F4EB7348EF74F992337" ma:contentTypeVersion="14" ma:contentTypeDescription="Create a new document." ma:contentTypeScope="" ma:versionID="8cd7378bde6cc0ea1b155cb53bc14a18">
  <xsd:schema xmlns:xsd="http://www.w3.org/2001/XMLSchema" xmlns:xs="http://www.w3.org/2001/XMLSchema" xmlns:p="http://schemas.microsoft.com/office/2006/metadata/properties" xmlns:ns2="b5f2b74b-eff9-4a36-9581-a794ddf54f1b" xmlns:ns3="098fc64e-1e88-4e72-ae73-cef66a1f9905" targetNamespace="http://schemas.microsoft.com/office/2006/metadata/properties" ma:root="true" ma:fieldsID="2270b0d95e8db3194800d08fb20a87a4" ns2:_="" ns3:_="">
    <xsd:import namespace="b5f2b74b-eff9-4a36-9581-a794ddf54f1b"/>
    <xsd:import namespace="098fc64e-1e88-4e72-ae73-cef66a1f990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f2b74b-eff9-4a36-9581-a794ddf54f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98fc64e-1e88-4e72-ae73-cef66a1f990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B937A1-E08E-4985-A746-DC485AB78E44}">
  <ds:schemaRefs>
    <ds:schemaRef ds:uri="http://purl.org/dc/dcmitype/"/>
    <ds:schemaRef ds:uri="http://schemas.microsoft.com/office/infopath/2007/PartnerControls"/>
    <ds:schemaRef ds:uri="http://schemas.microsoft.com/office/2006/documentManagement/types"/>
    <ds:schemaRef ds:uri="http://purl.org/dc/elements/1.1/"/>
    <ds:schemaRef ds:uri="http://schemas.openxmlformats.org/package/2006/metadata/core-properties"/>
    <ds:schemaRef ds:uri="http://schemas.microsoft.com/office/2006/metadata/properties"/>
    <ds:schemaRef ds:uri="http://www.w3.org/XML/1998/namespace"/>
    <ds:schemaRef ds:uri="098fc64e-1e88-4e72-ae73-cef66a1f9905"/>
    <ds:schemaRef ds:uri="b5f2b74b-eff9-4a36-9581-a794ddf54f1b"/>
    <ds:schemaRef ds:uri="http://purl.org/dc/terms/"/>
  </ds:schemaRefs>
</ds:datastoreItem>
</file>

<file path=customXml/itemProps2.xml><?xml version="1.0" encoding="utf-8"?>
<ds:datastoreItem xmlns:ds="http://schemas.openxmlformats.org/officeDocument/2006/customXml" ds:itemID="{2E1A8789-E5DD-4A17-85C6-E4CB193D2AC0}">
  <ds:schemaRefs>
    <ds:schemaRef ds:uri="http://schemas.microsoft.com/sharepoint/v3/contenttype/forms"/>
  </ds:schemaRefs>
</ds:datastoreItem>
</file>

<file path=customXml/itemProps3.xml><?xml version="1.0" encoding="utf-8"?>
<ds:datastoreItem xmlns:ds="http://schemas.openxmlformats.org/officeDocument/2006/customXml" ds:itemID="{9BFD0CA1-FE27-4B92-BAE2-6587BEB84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f2b74b-eff9-4a36-9581-a794ddf54f1b"/>
    <ds:schemaRef ds:uri="098fc64e-1e88-4e72-ae73-cef66a1f9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Pages>
  <Words>443</Words>
  <Characters>2528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Mollie Fernandez</dc:creator>
  <cp:keywords/>
  <dc:description/>
  <cp:lastModifiedBy>Mollie Fernandez</cp:lastModifiedBy>
  <cp:revision>3</cp:revision>
  <dcterms:created xsi:type="dcterms:W3CDTF">2022-05-28T08:14:00Z</dcterms:created>
  <dcterms:modified xsi:type="dcterms:W3CDTF">2022-05-28T08:45:00Z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0x010100D0CC4352A3AD1F4EB7348EF74F992337</vt:lpwstr>
  </property>
  <property fmtid="{D5CDD505-2E9C-101B-9397-08002B2CF9AE}" pid="3" name="MediaServiceImageTags">
    <vt:lpwstr/>
  </property>
</Properties>
</file>