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Controlworks - BMS Project Engineer | Keywords Cheat Sheet (single page)</w:t>
      </w:r>
    </w:p>
    <w:p>
      <w:pPr>
        <w:jc w:val="center"/>
      </w:pPr>
      <w:r>
        <w:rPr>
          <w:i/>
          <w:sz w:val="17"/>
        </w:rPr>
        <w:t>Memory prompts - expand into full answers while speaking.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c>
          <w:tcPr>
            <w:tcW w:type="dxa" w:w="4848"/>
            <w:tcMar>
              <w:top w:w="40" w:type="dxa"/>
              <w:start w:w="55" w:type="dxa"/>
              <w:bottom w:w="40" w:type="dxa"/>
              <w:end w:w="55" w:type="dxa"/>
            </w:tcMar>
          </w:tcPr>
          <w:p/>
          <w:p>
            <w:pPr>
              <w:spacing w:after="20" w:before="20"/>
            </w:pPr>
            <w:r>
              <w:rPr>
                <w:b/>
                <w:sz w:val="20"/>
              </w:rPr>
              <w:t>Tell me about yourself</w:t>
            </w:r>
          </w:p>
          <w:p>
            <w:pPr>
              <w:pStyle w:val="ListBullet"/>
              <w:spacing w:after="0" w:before="0"/>
            </w:pPr>
            <w:r>
              <w:rPr>
                <w:sz w:val="18"/>
              </w:rPr>
              <w:t>Electronic/Controls; 12+ yrs; embedded + BMS/automation + commissioning</w:t>
            </w:r>
          </w:p>
          <w:p>
            <w:pPr>
              <w:pStyle w:val="ListBullet"/>
              <w:spacing w:after="0" w:before="0"/>
            </w:pPr>
            <w:r>
              <w:rPr>
                <w:sz w:val="18"/>
              </w:rPr>
              <w:t>STM32/ESP32/Atmel/PIC | C/C++ | Altium/AutoCAD/MATLAB/Proteus | DMM/scope</w:t>
            </w:r>
          </w:p>
          <w:p>
            <w:pPr>
              <w:pStyle w:val="ListBullet"/>
              <w:spacing w:after="0" w:before="0"/>
            </w:pPr>
            <w:r>
              <w:rPr>
                <w:sz w:val="18"/>
              </w:rPr>
              <w:t>Wabtec: PCB design; validation; safety; ATE; field diagnostics</w:t>
            </w:r>
          </w:p>
          <w:p>
            <w:pPr>
              <w:pStyle w:val="ListBullet"/>
              <w:spacing w:after="0" w:before="0"/>
            </w:pPr>
            <w:r>
              <w:rPr>
                <w:sz w:val="18"/>
              </w:rPr>
              <w:t>Protocols: Modbus RTU/TCP; BACnet/IP; BACnet MS/TP; MQTT | RS-485/Ethernet</w:t>
            </w:r>
          </w:p>
          <w:p>
            <w:pPr>
              <w:pStyle w:val="ListBullet"/>
              <w:spacing w:after="0" w:before="0"/>
            </w:pPr>
            <w:r>
              <w:rPr>
                <w:sz w:val="18"/>
              </w:rPr>
              <w:t>Lifecycle: design -&gt; integration -&gt; commissioning -&gt; optimisation -&gt; handover</w:t>
            </w:r>
          </w:p>
          <w:p>
            <w:pPr>
              <w:spacing w:after="20" w:before="20"/>
            </w:pPr>
            <w:r>
              <w:rPr>
                <w:b/>
                <w:sz w:val="20"/>
              </w:rPr>
              <w:t>Why Controlworks</w:t>
            </w:r>
          </w:p>
          <w:p>
            <w:pPr>
              <w:pStyle w:val="ListBullet"/>
              <w:spacing w:after="0" w:before="0"/>
            </w:pPr>
            <w:r>
              <w:rPr>
                <w:sz w:val="18"/>
              </w:rPr>
              <w:t>Engineering-led; hands-on; open protocols; modern controls</w:t>
            </w:r>
          </w:p>
          <w:p>
            <w:pPr>
              <w:pStyle w:val="ListBullet"/>
              <w:spacing w:after="0" w:before="0"/>
            </w:pPr>
            <w:r>
              <w:rPr>
                <w:sz w:val="18"/>
              </w:rPr>
              <w:t>Quality/reliability/energy outcomes | integrity | long-term clients</w:t>
            </w:r>
          </w:p>
          <w:p>
            <w:pPr>
              <w:pStyle w:val="ListBullet"/>
              <w:spacing w:after="0" w:before="0"/>
            </w:pPr>
            <w:r>
              <w:rPr>
                <w:sz w:val="18"/>
              </w:rPr>
              <w:t>Continuous improvement; learn fast; optimise strategies</w:t>
            </w:r>
          </w:p>
          <w:p>
            <w:pPr>
              <w:spacing w:after="20" w:before="20"/>
            </w:pPr>
            <w:r>
              <w:rPr>
                <w:b/>
                <w:sz w:val="20"/>
              </w:rPr>
              <w:t>Why leaving current role</w:t>
            </w:r>
          </w:p>
          <w:p>
            <w:pPr>
              <w:pStyle w:val="ListBullet"/>
              <w:spacing w:after="0" w:before="0"/>
            </w:pPr>
            <w:r>
              <w:rPr>
                <w:sz w:val="18"/>
              </w:rPr>
              <w:t>Strong base: monitoring/diagnostics + reliability</w:t>
            </w:r>
          </w:p>
          <w:p>
            <w:pPr>
              <w:pStyle w:val="ListBullet"/>
              <w:spacing w:after="0" w:before="0"/>
            </w:pPr>
            <w:r>
              <w:rPr>
                <w:sz w:val="18"/>
              </w:rPr>
              <w:t>Next: deeper BMS/PLC; HVAC integration; end-to-end delivery; growth</w:t>
            </w:r>
          </w:p>
        </w:tc>
        <w:tc>
          <w:tcPr>
            <w:tcW w:type="dxa" w:w="4848"/>
            <w:tcMar>
              <w:top w:w="40" w:type="dxa"/>
              <w:start w:w="55" w:type="dxa"/>
              <w:bottom w:w="40" w:type="dxa"/>
              <w:end w:w="55" w:type="dxa"/>
            </w:tcMar>
          </w:tcPr>
          <w:p/>
          <w:p>
            <w:pPr>
              <w:spacing w:after="20" w:before="20"/>
            </w:pPr>
            <w:r>
              <w:rPr>
                <w:b/>
                <w:sz w:val="20"/>
              </w:rPr>
              <w:t>PLC experience</w:t>
            </w:r>
          </w:p>
          <w:p>
            <w:pPr>
              <w:pStyle w:val="ListBullet"/>
              <w:spacing w:after="0" w:before="0"/>
            </w:pPr>
            <w:r>
              <w:rPr>
                <w:sz w:val="18"/>
              </w:rPr>
              <w:t>PLC logic: modify/troubleshoot/optimise | test sequences</w:t>
            </w:r>
          </w:p>
          <w:p>
            <w:pPr>
              <w:pStyle w:val="ListBullet"/>
              <w:spacing w:after="0" w:before="0"/>
            </w:pPr>
            <w:r>
              <w:rPr>
                <w:sz w:val="18"/>
              </w:rPr>
              <w:t>HVAC panels: wiring; install; commissioning</w:t>
            </w:r>
          </w:p>
          <w:p>
            <w:pPr>
              <w:pStyle w:val="ListBullet"/>
              <w:spacing w:after="0" w:before="0"/>
            </w:pPr>
            <w:r>
              <w:rPr>
                <w:sz w:val="18"/>
              </w:rPr>
              <w:t>Siemens; Allen-Bradley; Mitsubishi; Schneider; Omron | SCADA</w:t>
            </w:r>
          </w:p>
          <w:p>
            <w:pPr>
              <w:spacing w:after="20" w:before="20"/>
            </w:pPr>
            <w:r>
              <w:rPr>
                <w:b/>
                <w:sz w:val="20"/>
              </w:rPr>
              <w:t>Complex troubleshoot (STAR)</w:t>
            </w:r>
          </w:p>
          <w:p>
            <w:pPr>
              <w:pStyle w:val="ListBullet"/>
              <w:spacing w:after="0" w:before="0"/>
            </w:pPr>
            <w:r>
              <w:rPr>
                <w:sz w:val="18"/>
              </w:rPr>
              <w:t>IEC-101 meters -&gt; gateway -&gt; Modbus TCP | crashes + data loss + bad timestamps</w:t>
            </w:r>
          </w:p>
          <w:p>
            <w:pPr>
              <w:pStyle w:val="ListBullet"/>
              <w:spacing w:after="0" w:before="0"/>
            </w:pPr>
            <w:r>
              <w:rPr>
                <w:sz w:val="18"/>
              </w:rPr>
              <w:t>Root: buffer overflow + time sync | Fix: circular buffer + timestamp normalisation</w:t>
            </w:r>
          </w:p>
          <w:p>
            <w:pPr>
              <w:pStyle w:val="ListBullet"/>
              <w:spacing w:after="0" w:before="0"/>
            </w:pPr>
            <w:r>
              <w:rPr>
                <w:sz w:val="18"/>
              </w:rPr>
              <w:t>Add: health monitoring + logging | Result: stable trends/alarms</w:t>
            </w:r>
          </w:p>
          <w:p>
            <w:pPr>
              <w:spacing w:after="20" w:before="20"/>
            </w:pPr>
            <w:r>
              <w:rPr>
                <w:b/>
                <w:sz w:val="20"/>
              </w:rPr>
              <w:t>Tight deadline delivery</w:t>
            </w:r>
          </w:p>
          <w:p>
            <w:pPr>
              <w:pStyle w:val="ListBullet"/>
              <w:spacing w:after="0" w:before="0"/>
            </w:pPr>
            <w:r>
              <w:rPr>
                <w:sz w:val="18"/>
              </w:rPr>
              <w:t>Risk-first plan; parallel workstreams; safety/compliance priority</w:t>
            </w:r>
          </w:p>
          <w:p>
            <w:pPr>
              <w:pStyle w:val="ListBullet"/>
              <w:spacing w:after="0" w:before="0"/>
            </w:pPr>
            <w:r>
              <w:rPr>
                <w:sz w:val="18"/>
              </w:rPr>
              <w:t>Scope/timing validation (scope/noise/comms) | repeatable automated tests</w:t>
            </w:r>
          </w:p>
          <w:p>
            <w:pPr>
              <w:pStyle w:val="ListBullet"/>
              <w:spacing w:after="0" w:before="0"/>
            </w:pPr>
            <w:r>
              <w:rPr>
                <w:sz w:val="18"/>
              </w:rPr>
              <w:t>Stakeholder comms; on-time release; documented improvements</w:t>
            </w:r>
          </w:p>
        </w:tc>
        <w:tc>
          <w:tcPr>
            <w:tcW w:type="dxa" w:w="4848"/>
            <w:tcMar>
              <w:top w:w="40" w:type="dxa"/>
              <w:start w:w="55" w:type="dxa"/>
              <w:bottom w:w="40" w:type="dxa"/>
              <w:end w:w="55" w:type="dxa"/>
            </w:tcMar>
          </w:tcPr>
          <w:p/>
          <w:p>
            <w:pPr>
              <w:spacing w:after="20" w:before="20"/>
            </w:pPr>
            <w:r>
              <w:rPr>
                <w:b/>
                <w:sz w:val="20"/>
              </w:rPr>
              <w:t>Commissioning process</w:t>
            </w:r>
          </w:p>
          <w:p>
            <w:pPr>
              <w:pStyle w:val="ListBullet"/>
              <w:spacing w:after="0" w:before="0"/>
            </w:pPr>
            <w:r>
              <w:rPr>
                <w:sz w:val="18"/>
              </w:rPr>
              <w:t>Prep: IFC drawings; schematics; I/O list; sequence | plan; addressing; network</w:t>
            </w:r>
          </w:p>
          <w:p>
            <w:pPr>
              <w:pStyle w:val="ListBullet"/>
              <w:spacing w:after="0" w:before="0"/>
            </w:pPr>
            <w:r>
              <w:rPr>
                <w:sz w:val="18"/>
              </w:rPr>
              <w:t>On-site: visual check; point-to-point I/O | sensors/actuators/panels</w:t>
            </w:r>
          </w:p>
          <w:p>
            <w:pPr>
              <w:pStyle w:val="ListBullet"/>
              <w:spacing w:after="0" w:before="0"/>
            </w:pPr>
            <w:r>
              <w:rPr>
                <w:sz w:val="18"/>
              </w:rPr>
              <w:t>Logic: verify; safeties; interlocks | Equipment: AHU/FCU/pumps/VSD</w:t>
            </w:r>
          </w:p>
          <w:p>
            <w:pPr>
              <w:pStyle w:val="ListBullet"/>
              <w:spacing w:after="0" w:before="0"/>
            </w:pPr>
            <w:r>
              <w:rPr>
                <w:sz w:val="18"/>
              </w:rPr>
              <w:t>Front-end: graphics; alarms; trending | BACnet/Modbus comms stability</w:t>
            </w:r>
          </w:p>
          <w:p>
            <w:pPr>
              <w:pStyle w:val="ListBullet"/>
              <w:spacing w:after="0" w:before="0"/>
            </w:pPr>
            <w:r>
              <w:rPr>
                <w:sz w:val="18"/>
              </w:rPr>
              <w:t>IST + documentation + training/handover</w:t>
            </w:r>
          </w:p>
          <w:p>
            <w:pPr>
              <w:spacing w:after="20" w:before="20"/>
            </w:pPr>
            <w:r>
              <w:rPr>
                <w:b/>
                <w:sz w:val="20"/>
              </w:rPr>
              <w:t>Device troubleshooting</w:t>
            </w:r>
          </w:p>
          <w:p>
            <w:pPr>
              <w:pStyle w:val="ListBullet"/>
              <w:spacing w:after="0" w:before="0"/>
            </w:pPr>
            <w:r>
              <w:rPr>
                <w:sz w:val="18"/>
              </w:rPr>
              <w:t>Symptom/context; schematics; recent changes | Power/ground/fuse first</w:t>
            </w:r>
          </w:p>
          <w:p>
            <w:pPr>
              <w:pStyle w:val="ListBullet"/>
              <w:spacing w:after="0" w:before="0"/>
            </w:pPr>
            <w:r>
              <w:rPr>
                <w:sz w:val="18"/>
              </w:rPr>
              <w:t>Visual inspection | isolate blocks (power/inputs/CPU/outputs) | known-good tests</w:t>
            </w:r>
          </w:p>
          <w:p>
            <w:pPr>
              <w:pStyle w:val="ListBullet"/>
              <w:spacing w:after="0" w:before="0"/>
            </w:pPr>
            <w:r>
              <w:rPr>
                <w:sz w:val="18"/>
              </w:rPr>
              <w:t>Tools: DMM/scope/logic/protocol monitor | firmware/config | comms health</w:t>
            </w:r>
          </w:p>
          <w:p>
            <w:pPr>
              <w:pStyle w:val="ListBullet"/>
              <w:spacing w:after="0" w:before="0"/>
            </w:pPr>
            <w:r>
              <w:rPr>
                <w:sz w:val="18"/>
              </w:rPr>
              <w:t>Controlled fix; re-test; root-cause + prevention</w:t>
            </w:r>
          </w:p>
          <w:p>
            <w:pPr>
              <w:spacing w:after="20" w:before="20"/>
            </w:pPr>
            <w:r>
              <w:rPr>
                <w:b/>
                <w:sz w:val="20"/>
              </w:rPr>
              <w:t>Behavioural prompts</w:t>
            </w:r>
          </w:p>
          <w:p>
            <w:pPr>
              <w:pStyle w:val="ListBullet"/>
              <w:spacing w:after="0" w:before="0"/>
            </w:pPr>
            <w:r>
              <w:rPr>
                <w:sz w:val="18"/>
              </w:rPr>
              <w:t>Mistake: assumption -&gt; reproduce -&gt; fix -&gt; update FAT/commissioning checklist</w:t>
            </w:r>
          </w:p>
          <w:p>
            <w:pPr>
              <w:pStyle w:val="ListBullet"/>
              <w:spacing w:after="0" w:before="0"/>
            </w:pPr>
            <w:r>
              <w:rPr>
                <w:sz w:val="18"/>
              </w:rPr>
              <w:t>Multi-project: MS Project/Planner/JIRA/Excel | risk/impact | time-blocking</w:t>
            </w:r>
          </w:p>
          <w:p>
            <w:pPr>
              <w:pStyle w:val="ListBullet"/>
              <w:spacing w:after="0" w:before="0"/>
            </w:pPr>
            <w:r>
              <w:rPr>
                <w:sz w:val="18"/>
              </w:rPr>
              <w:t>Disagree/conflict: listen; facts/standards; project goal; involve lead; document</w:t>
            </w:r>
          </w:p>
          <w:p>
            <w:pPr>
              <w:pStyle w:val="ListBullet"/>
              <w:spacing w:after="0" w:before="0"/>
            </w:pPr>
            <w:r>
              <w:rPr>
                <w:sz w:val="18"/>
              </w:rPr>
              <w:t>5-yr: senior/lead | HVAC strategies | BACnet/Modbus | Niagara/Distech | QA/mentoring</w:t>
            </w:r>
          </w:p>
        </w:tc>
      </w:tr>
    </w:tbl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