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153F3B"/>
          <w:sz w:val="50"/>
        </w:rPr>
        <w:t>Legal Coverage and Document Scope</w:t>
      </w:r>
    </w:p>
    <w:p>
      <w:pPr>
        <w:spacing w:after="240"/>
      </w:pPr>
      <w:r>
        <w:rPr>
          <w:color w:val="5B6768"/>
          <w:sz w:val="25"/>
        </w:rPr>
        <w:t>Current capabilities of the Neethi Sri Lankan Legal AI Assistant</w:t>
      </w:r>
    </w:p>
    <w:p>
      <w:pPr>
        <w:spacing w:after="280"/>
      </w:pPr>
      <w:r>
        <w:rPr>
          <w:b/>
          <w:color w:val="5B6768"/>
          <w:sz w:val="18"/>
        </w:rPr>
        <w:t>Prepared: 30 July 2026  |  Current indexed collection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shd w:fill="E8F1ED"/>
            <w:vAlign w:val="center"/>
          </w:tcPr>
          <w:p>
            <w:pPr>
              <w:spacing w:after="0"/>
            </w:pPr>
            <w:r>
              <w:rPr>
                <w:b/>
                <w:color w:val="153F3B"/>
              </w:rPr>
              <w:t>Current scope</w:t>
            </w:r>
            <w:r>
              <w:t xml:space="preserve">  Neethi searches approximately 1,961 legal sections across 21 indexed Sri Lankan legal documents. It supports English and Sinhala questions while grounding answers in the supplied legislation.</w:t>
            </w:r>
          </w:p>
        </w:tc>
      </w:tr>
    </w:tbl>
    <w:p>
      <w:pPr>
        <w:pStyle w:val="Heading1"/>
      </w:pPr>
      <w:r>
        <w:t>1. Legal areas currently covered</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shd w:fill="153F3B"/>
            <w:vAlign w:val="center"/>
            <w:tcMar>
              <w:top w:w="100" w:type="dxa"/>
              <w:start w:w="130" w:type="dxa"/>
              <w:bottom w:w="100" w:type="dxa"/>
              <w:end w:w="130" w:type="dxa"/>
            </w:tcMar>
          </w:tcPr>
          <w:p>
            <w:r>
              <w:rPr>
                <w:b/>
                <w:color w:val="FFFFFF"/>
                <w:sz w:val="19"/>
              </w:rPr>
              <w:t>Legal area</w:t>
            </w:r>
          </w:p>
        </w:tc>
        <w:tc>
          <w:tcPr>
            <w:tcW w:type="dxa" w:w="6560"/>
            <w:shd w:fill="153F3B"/>
            <w:vAlign w:val="center"/>
            <w:tcMar>
              <w:top w:w="100" w:type="dxa"/>
              <w:start w:w="130" w:type="dxa"/>
              <w:bottom w:w="100" w:type="dxa"/>
              <w:end w:w="130" w:type="dxa"/>
            </w:tcMar>
          </w:tcPr>
          <w:p>
            <w:r>
              <w:rPr>
                <w:b/>
                <w:color w:val="FFFFFF"/>
                <w:sz w:val="19"/>
              </w:rPr>
              <w:t>Documents currently included</w:t>
            </w:r>
          </w:p>
        </w:tc>
      </w:tr>
      <w:tr>
        <w:tc>
          <w:tcPr>
            <w:tcW w:type="dxa" w:w="2800"/>
            <w:vAlign w:val="center"/>
            <w:tcMar>
              <w:top w:w="100" w:type="dxa"/>
              <w:start w:w="130" w:type="dxa"/>
              <w:bottom w:w="100" w:type="dxa"/>
              <w:end w:w="130" w:type="dxa"/>
            </w:tcMar>
          </w:tcPr>
          <w:p>
            <w:pPr>
              <w:spacing w:after="0"/>
            </w:pPr>
            <w:r>
              <w:rPr>
                <w:b/>
                <w:sz w:val="18"/>
              </w:rPr>
              <w:t>Criminal offences</w:t>
            </w:r>
          </w:p>
        </w:tc>
        <w:tc>
          <w:tcPr>
            <w:tcW w:type="dxa" w:w="6560"/>
            <w:vAlign w:val="center"/>
            <w:tcMar>
              <w:top w:w="100" w:type="dxa"/>
              <w:start w:w="130" w:type="dxa"/>
              <w:bottom w:w="100" w:type="dxa"/>
              <w:end w:w="130" w:type="dxa"/>
            </w:tcMar>
          </w:tcPr>
          <w:p>
            <w:pPr>
              <w:spacing w:after="0"/>
            </w:pPr>
            <w:r>
              <w:rPr>
                <w:sz w:val="18"/>
              </w:rPr>
              <w:t>Penal Code and Penal Code amendment Acts</w:t>
            </w:r>
          </w:p>
        </w:tc>
      </w:tr>
      <w:tr>
        <w:tc>
          <w:tcPr>
            <w:tcW w:type="dxa" w:w="2800"/>
            <w:vAlign w:val="center"/>
            <w:tcMar>
              <w:top w:w="100" w:type="dxa"/>
              <w:start w:w="130" w:type="dxa"/>
              <w:bottom w:w="100" w:type="dxa"/>
              <w:end w:w="130" w:type="dxa"/>
            </w:tcMar>
          </w:tcPr>
          <w:p>
            <w:pPr>
              <w:spacing w:after="0"/>
            </w:pPr>
            <w:r>
              <w:rPr>
                <w:b/>
                <w:sz w:val="18"/>
              </w:rPr>
              <w:t>Arrests and court procedure</w:t>
            </w:r>
          </w:p>
        </w:tc>
        <w:tc>
          <w:tcPr>
            <w:tcW w:type="dxa" w:w="6560"/>
            <w:vAlign w:val="center"/>
            <w:tcMar>
              <w:top w:w="100" w:type="dxa"/>
              <w:start w:w="130" w:type="dxa"/>
              <w:bottom w:w="100" w:type="dxa"/>
              <w:end w:w="130" w:type="dxa"/>
            </w:tcMar>
          </w:tcPr>
          <w:p>
            <w:pPr>
              <w:spacing w:after="0"/>
            </w:pPr>
            <w:r>
              <w:rPr>
                <w:sz w:val="18"/>
              </w:rPr>
              <w:t>Code of Criminal Procedure</w:t>
            </w:r>
          </w:p>
        </w:tc>
      </w:tr>
      <w:tr>
        <w:tc>
          <w:tcPr>
            <w:tcW w:type="dxa" w:w="2800"/>
            <w:vAlign w:val="center"/>
            <w:tcMar>
              <w:top w:w="100" w:type="dxa"/>
              <w:start w:w="130" w:type="dxa"/>
              <w:bottom w:w="100" w:type="dxa"/>
              <w:end w:w="130" w:type="dxa"/>
            </w:tcMar>
          </w:tcPr>
          <w:p>
            <w:pPr>
              <w:spacing w:after="0"/>
            </w:pPr>
            <w:r>
              <w:rPr>
                <w:b/>
                <w:sz w:val="18"/>
              </w:rPr>
              <w:t>Bail and remand</w:t>
            </w:r>
          </w:p>
        </w:tc>
        <w:tc>
          <w:tcPr>
            <w:tcW w:type="dxa" w:w="6560"/>
            <w:vAlign w:val="center"/>
            <w:tcMar>
              <w:top w:w="100" w:type="dxa"/>
              <w:start w:w="130" w:type="dxa"/>
              <w:bottom w:w="100" w:type="dxa"/>
              <w:end w:w="130" w:type="dxa"/>
            </w:tcMar>
          </w:tcPr>
          <w:p>
            <w:pPr>
              <w:spacing w:after="0"/>
            </w:pPr>
            <w:r>
              <w:rPr>
                <w:sz w:val="18"/>
              </w:rPr>
              <w:t>Bail Act (Consolidated 2024)</w:t>
            </w:r>
          </w:p>
        </w:tc>
      </w:tr>
      <w:tr>
        <w:tc>
          <w:tcPr>
            <w:tcW w:type="dxa" w:w="2800"/>
            <w:vAlign w:val="center"/>
            <w:tcMar>
              <w:top w:w="100" w:type="dxa"/>
              <w:start w:w="130" w:type="dxa"/>
              <w:bottom w:w="100" w:type="dxa"/>
              <w:end w:w="130" w:type="dxa"/>
            </w:tcMar>
          </w:tcPr>
          <w:p>
            <w:pPr>
              <w:spacing w:after="0"/>
            </w:pPr>
            <w:r>
              <w:rPr>
                <w:b/>
                <w:sz w:val="18"/>
              </w:rPr>
              <w:t>Evidence</w:t>
            </w:r>
          </w:p>
        </w:tc>
        <w:tc>
          <w:tcPr>
            <w:tcW w:type="dxa" w:w="6560"/>
            <w:vAlign w:val="center"/>
            <w:tcMar>
              <w:top w:w="100" w:type="dxa"/>
              <w:start w:w="130" w:type="dxa"/>
              <w:bottom w:w="100" w:type="dxa"/>
              <w:end w:w="130" w:type="dxa"/>
            </w:tcMar>
          </w:tcPr>
          <w:p>
            <w:pPr>
              <w:spacing w:after="0"/>
            </w:pPr>
            <w:r>
              <w:rPr>
                <w:sz w:val="18"/>
              </w:rPr>
              <w:t>Evidence Ordinance (Consolidated 2024)</w:t>
            </w:r>
          </w:p>
        </w:tc>
      </w:tr>
      <w:tr>
        <w:tc>
          <w:tcPr>
            <w:tcW w:type="dxa" w:w="2800"/>
            <w:vAlign w:val="center"/>
            <w:tcMar>
              <w:top w:w="100" w:type="dxa"/>
              <w:start w:w="130" w:type="dxa"/>
              <w:bottom w:w="100" w:type="dxa"/>
              <w:end w:w="130" w:type="dxa"/>
            </w:tcMar>
          </w:tcPr>
          <w:p>
            <w:pPr>
              <w:spacing w:after="0"/>
            </w:pPr>
            <w:r>
              <w:rPr>
                <w:b/>
                <w:sz w:val="18"/>
              </w:rPr>
              <w:t>Theft, robbery and physical injury</w:t>
            </w:r>
          </w:p>
        </w:tc>
        <w:tc>
          <w:tcPr>
            <w:tcW w:type="dxa" w:w="6560"/>
            <w:vAlign w:val="center"/>
            <w:tcMar>
              <w:top w:w="100" w:type="dxa"/>
              <w:start w:w="130" w:type="dxa"/>
              <w:bottom w:w="100" w:type="dxa"/>
              <w:end w:w="130" w:type="dxa"/>
            </w:tcMar>
          </w:tcPr>
          <w:p>
            <w:pPr>
              <w:spacing w:after="0"/>
            </w:pPr>
            <w:r>
              <w:rPr>
                <w:sz w:val="18"/>
              </w:rPr>
              <w:t>Penal Code</w:t>
            </w:r>
          </w:p>
        </w:tc>
      </w:tr>
      <w:tr>
        <w:tc>
          <w:tcPr>
            <w:tcW w:type="dxa" w:w="2800"/>
            <w:vAlign w:val="center"/>
            <w:tcMar>
              <w:top w:w="100" w:type="dxa"/>
              <w:start w:w="130" w:type="dxa"/>
              <w:bottom w:w="100" w:type="dxa"/>
              <w:end w:w="130" w:type="dxa"/>
            </w:tcMar>
          </w:tcPr>
          <w:p>
            <w:pPr>
              <w:spacing w:after="0"/>
            </w:pPr>
            <w:r>
              <w:rPr>
                <w:b/>
                <w:sz w:val="18"/>
              </w:rPr>
              <w:t>Domestic violence</w:t>
            </w:r>
          </w:p>
        </w:tc>
        <w:tc>
          <w:tcPr>
            <w:tcW w:type="dxa" w:w="6560"/>
            <w:vAlign w:val="center"/>
            <w:tcMar>
              <w:top w:w="100" w:type="dxa"/>
              <w:start w:w="130" w:type="dxa"/>
              <w:bottom w:w="100" w:type="dxa"/>
              <w:end w:w="130" w:type="dxa"/>
            </w:tcMar>
          </w:tcPr>
          <w:p>
            <w:pPr>
              <w:spacing w:after="0"/>
            </w:pPr>
            <w:r>
              <w:rPr>
                <w:sz w:val="18"/>
              </w:rPr>
              <w:t>Prevention of Domestic Violence Act No. 34 of 2005</w:t>
            </w:r>
          </w:p>
        </w:tc>
      </w:tr>
      <w:tr>
        <w:tc>
          <w:tcPr>
            <w:tcW w:type="dxa" w:w="2800"/>
            <w:vAlign w:val="center"/>
            <w:tcMar>
              <w:top w:w="100" w:type="dxa"/>
              <w:start w:w="130" w:type="dxa"/>
              <w:bottom w:w="100" w:type="dxa"/>
              <w:end w:w="130" w:type="dxa"/>
            </w:tcMar>
          </w:tcPr>
          <w:p>
            <w:pPr>
              <w:spacing w:after="0"/>
            </w:pPr>
            <w:r>
              <w:rPr>
                <w:b/>
                <w:sz w:val="18"/>
              </w:rPr>
              <w:t>Road and vehicle offences</w:t>
            </w:r>
          </w:p>
        </w:tc>
        <w:tc>
          <w:tcPr>
            <w:tcW w:type="dxa" w:w="6560"/>
            <w:vAlign w:val="center"/>
            <w:tcMar>
              <w:top w:w="100" w:type="dxa"/>
              <w:start w:w="130" w:type="dxa"/>
              <w:bottom w:w="100" w:type="dxa"/>
              <w:end w:w="130" w:type="dxa"/>
            </w:tcMar>
          </w:tcPr>
          <w:p>
            <w:pPr>
              <w:spacing w:after="0"/>
            </w:pPr>
            <w:r>
              <w:rPr>
                <w:sz w:val="18"/>
              </w:rPr>
              <w:t>Motor Traffic Act</w:t>
            </w:r>
          </w:p>
        </w:tc>
      </w:tr>
      <w:tr>
        <w:tc>
          <w:tcPr>
            <w:tcW w:type="dxa" w:w="2800"/>
            <w:vAlign w:val="center"/>
            <w:tcMar>
              <w:top w:w="100" w:type="dxa"/>
              <w:start w:w="130" w:type="dxa"/>
              <w:bottom w:w="100" w:type="dxa"/>
              <w:end w:w="130" w:type="dxa"/>
            </w:tcMar>
          </w:tcPr>
          <w:p>
            <w:pPr>
              <w:spacing w:after="0"/>
            </w:pPr>
            <w:r>
              <w:rPr>
                <w:b/>
                <w:sz w:val="18"/>
              </w:rPr>
              <w:t>Computer crimes</w:t>
            </w:r>
          </w:p>
        </w:tc>
        <w:tc>
          <w:tcPr>
            <w:tcW w:type="dxa" w:w="6560"/>
            <w:vAlign w:val="center"/>
            <w:tcMar>
              <w:top w:w="100" w:type="dxa"/>
              <w:start w:w="130" w:type="dxa"/>
              <w:bottom w:w="100" w:type="dxa"/>
              <w:end w:w="130" w:type="dxa"/>
            </w:tcMar>
          </w:tcPr>
          <w:p>
            <w:pPr>
              <w:spacing w:after="0"/>
            </w:pPr>
            <w:r>
              <w:rPr>
                <w:sz w:val="18"/>
              </w:rPr>
              <w:t>Computer Crime Act No. 24 of 2007</w:t>
            </w:r>
          </w:p>
        </w:tc>
      </w:tr>
      <w:tr>
        <w:tc>
          <w:tcPr>
            <w:tcW w:type="dxa" w:w="2800"/>
            <w:vAlign w:val="center"/>
            <w:tcMar>
              <w:top w:w="100" w:type="dxa"/>
              <w:start w:w="130" w:type="dxa"/>
              <w:bottom w:w="100" w:type="dxa"/>
              <w:end w:w="130" w:type="dxa"/>
            </w:tcMar>
          </w:tcPr>
          <w:p>
            <w:pPr>
              <w:spacing w:after="0"/>
            </w:pPr>
            <w:r>
              <w:rPr>
                <w:b/>
                <w:sz w:val="18"/>
              </w:rPr>
              <w:t>Online offences</w:t>
            </w:r>
          </w:p>
        </w:tc>
        <w:tc>
          <w:tcPr>
            <w:tcW w:type="dxa" w:w="6560"/>
            <w:vAlign w:val="center"/>
            <w:tcMar>
              <w:top w:w="100" w:type="dxa"/>
              <w:start w:w="130" w:type="dxa"/>
              <w:bottom w:w="100" w:type="dxa"/>
              <w:end w:w="130" w:type="dxa"/>
            </w:tcMar>
          </w:tcPr>
          <w:p>
            <w:pPr>
              <w:spacing w:after="0"/>
            </w:pPr>
            <w:r>
              <w:rPr>
                <w:sz w:val="18"/>
              </w:rPr>
              <w:t>Online Safety Act No. 9 of 2024</w:t>
            </w:r>
          </w:p>
        </w:tc>
      </w:tr>
      <w:tr>
        <w:tc>
          <w:tcPr>
            <w:tcW w:type="dxa" w:w="2800"/>
            <w:vAlign w:val="center"/>
            <w:tcMar>
              <w:top w:w="100" w:type="dxa"/>
              <w:start w:w="130" w:type="dxa"/>
              <w:bottom w:w="100" w:type="dxa"/>
              <w:end w:w="130" w:type="dxa"/>
            </w:tcMar>
          </w:tcPr>
          <w:p>
            <w:pPr>
              <w:spacing w:after="0"/>
            </w:pPr>
            <w:r>
              <w:rPr>
                <w:b/>
                <w:sz w:val="18"/>
              </w:rPr>
              <w:t>Data privacy</w:t>
            </w:r>
          </w:p>
        </w:tc>
        <w:tc>
          <w:tcPr>
            <w:tcW w:type="dxa" w:w="6560"/>
            <w:vAlign w:val="center"/>
            <w:tcMar>
              <w:top w:w="100" w:type="dxa"/>
              <w:start w:w="130" w:type="dxa"/>
              <w:bottom w:w="100" w:type="dxa"/>
              <w:end w:w="130" w:type="dxa"/>
            </w:tcMar>
          </w:tcPr>
          <w:p>
            <w:pPr>
              <w:spacing w:after="0"/>
            </w:pPr>
            <w:r>
              <w:rPr>
                <w:sz w:val="18"/>
              </w:rPr>
              <w:t>Personal Data Protection Act No. 9 of 2022</w:t>
            </w:r>
          </w:p>
        </w:tc>
      </w:tr>
      <w:tr>
        <w:tc>
          <w:tcPr>
            <w:tcW w:type="dxa" w:w="2800"/>
            <w:vAlign w:val="center"/>
            <w:tcMar>
              <w:top w:w="100" w:type="dxa"/>
              <w:start w:w="130" w:type="dxa"/>
              <w:bottom w:w="100" w:type="dxa"/>
              <w:end w:w="130" w:type="dxa"/>
            </w:tcMar>
          </w:tcPr>
          <w:p>
            <w:pPr>
              <w:spacing w:after="0"/>
            </w:pPr>
            <w:r>
              <w:rPr>
                <w:b/>
                <w:sz w:val="18"/>
              </w:rPr>
              <w:t>Consumer matters</w:t>
            </w:r>
          </w:p>
        </w:tc>
        <w:tc>
          <w:tcPr>
            <w:tcW w:type="dxa" w:w="6560"/>
            <w:vAlign w:val="center"/>
            <w:tcMar>
              <w:top w:w="100" w:type="dxa"/>
              <w:start w:w="130" w:type="dxa"/>
              <w:bottom w:w="100" w:type="dxa"/>
              <w:end w:w="130" w:type="dxa"/>
            </w:tcMar>
          </w:tcPr>
          <w:p>
            <w:pPr>
              <w:spacing w:after="0"/>
            </w:pPr>
            <w:r>
              <w:rPr>
                <w:sz w:val="18"/>
              </w:rPr>
              <w:t>Consumer Affairs Authority Act No. 9 of 2003</w:t>
            </w:r>
          </w:p>
        </w:tc>
      </w:tr>
      <w:tr>
        <w:tc>
          <w:tcPr>
            <w:tcW w:type="dxa" w:w="2800"/>
            <w:vAlign w:val="center"/>
            <w:tcMar>
              <w:top w:w="100" w:type="dxa"/>
              <w:start w:w="130" w:type="dxa"/>
              <w:bottom w:w="100" w:type="dxa"/>
              <w:end w:w="130" w:type="dxa"/>
            </w:tcMar>
          </w:tcPr>
          <w:p>
            <w:pPr>
              <w:spacing w:after="0"/>
            </w:pPr>
            <w:r>
              <w:rPr>
                <w:b/>
                <w:sz w:val="18"/>
              </w:rPr>
              <w:t>Employment disputes</w:t>
            </w:r>
          </w:p>
        </w:tc>
        <w:tc>
          <w:tcPr>
            <w:tcW w:type="dxa" w:w="6560"/>
            <w:vAlign w:val="center"/>
            <w:tcMar>
              <w:top w:w="100" w:type="dxa"/>
              <w:start w:w="130" w:type="dxa"/>
              <w:bottom w:w="100" w:type="dxa"/>
              <w:end w:w="130" w:type="dxa"/>
            </w:tcMar>
          </w:tcPr>
          <w:p>
            <w:pPr>
              <w:spacing w:after="0"/>
            </w:pPr>
            <w:r>
              <w:rPr>
                <w:sz w:val="18"/>
              </w:rPr>
              <w:t>Industrial Disputes Act (Consolidated 2024)</w:t>
            </w:r>
          </w:p>
        </w:tc>
      </w:tr>
      <w:tr>
        <w:tc>
          <w:tcPr>
            <w:tcW w:type="dxa" w:w="2800"/>
            <w:vAlign w:val="center"/>
            <w:tcMar>
              <w:top w:w="100" w:type="dxa"/>
              <w:start w:w="130" w:type="dxa"/>
              <w:bottom w:w="100" w:type="dxa"/>
              <w:end w:w="130" w:type="dxa"/>
            </w:tcMar>
          </w:tcPr>
          <w:p>
            <w:pPr>
              <w:spacing w:after="0"/>
            </w:pPr>
            <w:r>
              <w:rPr>
                <w:b/>
                <w:sz w:val="18"/>
              </w:rPr>
              <w:t>Working hours and conditions</w:t>
            </w:r>
          </w:p>
        </w:tc>
        <w:tc>
          <w:tcPr>
            <w:tcW w:type="dxa" w:w="6560"/>
            <w:vAlign w:val="center"/>
            <w:tcMar>
              <w:top w:w="100" w:type="dxa"/>
              <w:start w:w="130" w:type="dxa"/>
              <w:bottom w:w="100" w:type="dxa"/>
              <w:end w:w="130" w:type="dxa"/>
            </w:tcMar>
          </w:tcPr>
          <w:p>
            <w:pPr>
              <w:spacing w:after="0"/>
            </w:pPr>
            <w:r>
              <w:rPr>
                <w:sz w:val="18"/>
              </w:rPr>
              <w:t>Shop and Office Employees Act (Consolidated 2024)</w:t>
            </w:r>
          </w:p>
        </w:tc>
      </w:tr>
      <w:tr>
        <w:tc>
          <w:tcPr>
            <w:tcW w:type="dxa" w:w="2800"/>
            <w:vAlign w:val="center"/>
            <w:tcMar>
              <w:top w:w="100" w:type="dxa"/>
              <w:start w:w="130" w:type="dxa"/>
              <w:bottom w:w="100" w:type="dxa"/>
              <w:end w:w="130" w:type="dxa"/>
            </w:tcMar>
          </w:tcPr>
          <w:p>
            <w:pPr>
              <w:spacing w:after="0"/>
            </w:pPr>
            <w:r>
              <w:rPr>
                <w:b/>
                <w:sz w:val="18"/>
              </w:rPr>
              <w:t>Wages</w:t>
            </w:r>
          </w:p>
        </w:tc>
        <w:tc>
          <w:tcPr>
            <w:tcW w:type="dxa" w:w="6560"/>
            <w:vAlign w:val="center"/>
            <w:tcMar>
              <w:top w:w="100" w:type="dxa"/>
              <w:start w:w="130" w:type="dxa"/>
              <w:bottom w:w="100" w:type="dxa"/>
              <w:end w:w="130" w:type="dxa"/>
            </w:tcMar>
          </w:tcPr>
          <w:p>
            <w:pPr>
              <w:spacing w:after="0"/>
            </w:pPr>
            <w:r>
              <w:rPr>
                <w:sz w:val="18"/>
              </w:rPr>
              <w:t>Wages Boards Ordinance and Minimum Wages (Indian Labour) Ordinance</w:t>
            </w:r>
          </w:p>
        </w:tc>
      </w:tr>
      <w:tr>
        <w:tc>
          <w:tcPr>
            <w:tcW w:type="dxa" w:w="2800"/>
            <w:vAlign w:val="center"/>
            <w:tcMar>
              <w:top w:w="100" w:type="dxa"/>
              <w:start w:w="130" w:type="dxa"/>
              <w:bottom w:w="100" w:type="dxa"/>
              <w:end w:w="130" w:type="dxa"/>
            </w:tcMar>
          </w:tcPr>
          <w:p>
            <w:pPr>
              <w:spacing w:after="0"/>
            </w:pPr>
            <w:r>
              <w:rPr>
                <w:b/>
                <w:sz w:val="18"/>
              </w:rPr>
              <w:t>Electronic records and signatures</w:t>
            </w:r>
          </w:p>
        </w:tc>
        <w:tc>
          <w:tcPr>
            <w:tcW w:type="dxa" w:w="6560"/>
            <w:vAlign w:val="center"/>
            <w:tcMar>
              <w:top w:w="100" w:type="dxa"/>
              <w:start w:w="130" w:type="dxa"/>
              <w:bottom w:w="100" w:type="dxa"/>
              <w:end w:w="130" w:type="dxa"/>
            </w:tcMar>
          </w:tcPr>
          <w:p>
            <w:pPr>
              <w:spacing w:after="0"/>
            </w:pPr>
            <w:r>
              <w:rPr>
                <w:sz w:val="18"/>
              </w:rPr>
              <w:t>Electronic Transactions Act and 2017 amendment</w:t>
            </w:r>
          </w:p>
        </w:tc>
      </w:tr>
      <w:tr>
        <w:tc>
          <w:tcPr>
            <w:tcW w:type="dxa" w:w="2800"/>
            <w:vAlign w:val="center"/>
            <w:tcMar>
              <w:top w:w="100" w:type="dxa"/>
              <w:start w:w="130" w:type="dxa"/>
              <w:bottom w:w="100" w:type="dxa"/>
              <w:end w:w="130" w:type="dxa"/>
            </w:tcMar>
          </w:tcPr>
          <w:p>
            <w:pPr>
              <w:spacing w:after="0"/>
            </w:pPr>
            <w:r>
              <w:rPr>
                <w:b/>
                <w:sz w:val="18"/>
              </w:rPr>
              <w:t>Victims and witnesses</w:t>
            </w:r>
          </w:p>
        </w:tc>
        <w:tc>
          <w:tcPr>
            <w:tcW w:type="dxa" w:w="6560"/>
            <w:vAlign w:val="center"/>
            <w:tcMar>
              <w:top w:w="100" w:type="dxa"/>
              <w:start w:w="130" w:type="dxa"/>
              <w:bottom w:w="100" w:type="dxa"/>
              <w:end w:w="130" w:type="dxa"/>
            </w:tcMar>
          </w:tcPr>
          <w:p>
            <w:pPr>
              <w:spacing w:after="0"/>
            </w:pPr>
            <w:r>
              <w:rPr>
                <w:sz w:val="18"/>
              </w:rPr>
              <w:t>Assistance to and Protection of Victims of Crime and Witnesses Act No. 10 of 2023</w:t>
            </w:r>
          </w:p>
        </w:tc>
      </w:tr>
    </w:tbl>
    <w:p>
      <w:pPr>
        <w:pStyle w:val="Heading1"/>
      </w:pPr>
      <w:r>
        <w:t>2. Current limitations</w:t>
      </w:r>
    </w:p>
    <w:p>
      <w:pPr>
        <w:pStyle w:val="ListBullet"/>
        <w:spacing w:after="120"/>
        <w:ind w:left="720" w:hanging="360"/>
      </w:pPr>
      <w:r>
        <w:t>The system mainly searches legislation; it does not yet provide comprehensive court judgments or case law.</w:t>
      </w:r>
    </w:p>
    <w:p>
      <w:pPr>
        <w:pStyle w:val="ListBullet"/>
        <w:spacing w:after="120"/>
        <w:ind w:left="720" w:hanging="360"/>
      </w:pPr>
      <w:r>
        <w:t>The collection does not contain every Sri Lankan law or every amendment.</w:t>
      </w:r>
    </w:p>
    <w:p>
      <w:pPr>
        <w:pStyle w:val="ListBullet"/>
        <w:spacing w:after="120"/>
        <w:ind w:left="720" w:hanging="360"/>
      </w:pPr>
      <w:r>
        <w:t>Sinhala questions are supported, but most underlying legal documents are currently in English.</w:t>
      </w:r>
    </w:p>
    <w:p>
      <w:pPr>
        <w:pStyle w:val="ListBullet"/>
        <w:spacing w:after="120"/>
        <w:ind w:left="720" w:hanging="360"/>
      </w:pPr>
      <w:r>
        <w:t>Family law matters such as divorce, maintenance and child custody are not yet covered in detail.</w:t>
      </w:r>
    </w:p>
    <w:p>
      <w:pPr>
        <w:pStyle w:val="ListBullet"/>
        <w:spacing w:after="120"/>
        <w:ind w:left="720" w:hanging="360"/>
      </w:pPr>
      <w:r>
        <w:t>Land law, inheritance, taxation, company law, immigration and constitutional law need broader source collections.</w:t>
      </w:r>
    </w:p>
    <w:p>
      <w:pPr>
        <w:pStyle w:val="ListBullet"/>
        <w:spacing w:after="120"/>
        <w:ind w:left="720" w:hanging="360"/>
      </w:pPr>
      <w:r>
        <w:t>Neethi provides general legal information. It does not give a final legal opinion, decide whether an offence occurred, or predict a court outcome.</w:t>
      </w:r>
    </w:p>
    <w:p>
      <w:pPr>
        <w:pStyle w:val="Heading1"/>
      </w:pPr>
      <w:r>
        <w:t>3. Recommended next document priorities</w:t>
      </w:r>
    </w:p>
    <w:p>
      <w:pPr>
        <w:pStyle w:val="ListNumber"/>
        <w:spacing w:after="120"/>
        <w:ind w:left="720" w:hanging="360"/>
      </w:pPr>
      <w:r>
        <w:rPr>
          <w:b/>
        </w:rPr>
        <w:t>Marriage, divorce, maintenance and child custody</w:t>
      </w:r>
      <w:r>
        <w:t xml:space="preserve"> - Expand practical family-law coverage.</w:t>
      </w:r>
    </w:p>
    <w:p>
      <w:pPr>
        <w:pStyle w:val="ListNumber"/>
        <w:spacing w:after="120"/>
        <w:ind w:left="720" w:hanging="360"/>
      </w:pPr>
      <w:r>
        <w:rPr>
          <w:b/>
        </w:rPr>
        <w:t>Land, property and tenancy</w:t>
      </w:r>
      <w:r>
        <w:t xml:space="preserve"> - Support ownership, lease, possession and landlord-tenant questions.</w:t>
      </w:r>
    </w:p>
    <w:p>
      <w:pPr>
        <w:pStyle w:val="ListNumber"/>
        <w:spacing w:after="120"/>
        <w:ind w:left="720" w:hanging="360"/>
      </w:pPr>
      <w:r>
        <w:rPr>
          <w:b/>
        </w:rPr>
        <w:t>Inheritance and wills</w:t>
      </w:r>
      <w:r>
        <w:t xml:space="preserve"> - Cover succession, probate and estate-related questions.</w:t>
      </w:r>
    </w:p>
    <w:p>
      <w:pPr>
        <w:pStyle w:val="ListNumber"/>
        <w:spacing w:after="120"/>
        <w:ind w:left="720" w:hanging="360"/>
      </w:pPr>
      <w:r>
        <w:rPr>
          <w:b/>
        </w:rPr>
        <w:t>Fundamental rights and constitutional law</w:t>
      </w:r>
      <w:r>
        <w:t xml:space="preserve"> - Support rights-based and public-law questions.</w:t>
      </w:r>
    </w:p>
    <w:p>
      <w:pPr>
        <w:pStyle w:val="ListNumber"/>
        <w:spacing w:after="120"/>
        <w:ind w:left="720" w:hanging="360"/>
      </w:pPr>
      <w:r>
        <w:rPr>
          <w:b/>
        </w:rPr>
        <w:t>Labour tribunal decisions</w:t>
      </w:r>
      <w:r>
        <w:t xml:space="preserve"> - Add practical interpretation to the existing employment legislation.</w:t>
      </w:r>
    </w:p>
    <w:p>
      <w:pPr>
        <w:pStyle w:val="ListNumber"/>
        <w:spacing w:after="120"/>
        <w:ind w:left="720" w:hanging="360"/>
      </w:pPr>
      <w:r>
        <w:rPr>
          <w:b/>
        </w:rPr>
        <w:t>Supreme Court and Court of Appeal judgments</w:t>
      </w:r>
      <w:r>
        <w:t xml:space="preserve"> - Introduce authoritative case-law context and precedent.</w:t>
      </w:r>
    </w:p>
    <w:p>
      <w:pPr>
        <w:pStyle w:val="ListNumber"/>
        <w:spacing w:after="120"/>
        <w:ind w:left="720" w:hanging="360"/>
      </w:pPr>
      <w:r>
        <w:rPr>
          <w:b/>
        </w:rPr>
        <w:t>Sinhala versions of existing legislation</w:t>
      </w:r>
      <w:r>
        <w:t xml:space="preserve"> - Improve Sinhala terminology and allow source text to be presented directly in Sinhala.</w:t>
      </w:r>
    </w:p>
    <w:p>
      <w:pPr>
        <w:pStyle w:val="Heading1"/>
      </w:pPr>
      <w:r>
        <w:t>4. Document quality requirements</w:t>
      </w:r>
    </w:p>
    <w:p>
      <w:r>
        <w:t>For reliable retrieval, new documents should preferably be official or authoritative PDF copies with clear section numbering. Each source should be recorded with its publication date, effective date, amendment status and official source URL where available.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shd w:fill="F5F1E8"/>
          </w:tcPr>
          <w:p>
            <w:pPr>
              <w:spacing w:after="0"/>
            </w:pPr>
            <w:r>
              <w:rPr>
                <w:b/>
                <w:color w:val="153F3B"/>
              </w:rPr>
              <w:t xml:space="preserve">Important: </w:t>
            </w:r>
            <w:r>
              <w:t>Coverage indicates that relevant source material is available for retrieval. It does not guarantee that the system can answer every factual scenario.</w:t>
            </w:r>
          </w:p>
        </w:tc>
      </w:tr>
    </w:tbl>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6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B6768"/>
        <w:sz w:val="17"/>
      </w:rPr>
      <w:t>NEETHI  |  SRI LANKAN LEGAL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2B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53F3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53F3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53F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Neethi Legal Coverage and Document Scope</dc:title>
  <dc:subject>Current Sri Lankan legal areas, indexed documents, limitations and expansion priorities</dc:subject>
  <dc:creator>Neethi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